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06A" w:rsidRDefault="0051406A" w:rsidP="0051406A">
      <w:r>
        <w:t>SB 743 Overview</w:t>
      </w:r>
    </w:p>
    <w:p w:rsidR="0051406A" w:rsidRDefault="0051406A" w:rsidP="0051406A"/>
    <w:p w:rsidR="0051406A" w:rsidRDefault="0051406A" w:rsidP="0051406A">
      <w:r>
        <w:t>The Senate Bill which was signed back into law back in 2013, requires the Governor’s Office of Planning and Research to amend the CEQA Guidelines to provide an alternative to level of service for evaluating transportation impacts in relation to land use developments and states the criteria must “promote the reduction of greenhouse gas emissions, the development of multimodal transportation networks, and a diversity of land use”. It also suggested that the measurements of transportation impacts may include “vehicle miles traveled, vehicle miles traveled per capita, automobile trip generation rates, or automobile trips generated”. It also stated that alternative metrics may include the retention of traffic levels of service, where appropriate and as determined by the office. It also would require transportation projects that increase physical roadway capacity for automobiles in a congested area, or adds new roadway to the network, the transportation analysis should analyze whether the project will induce additional automobile travel compared to existing conditions.</w:t>
      </w:r>
    </w:p>
    <w:p w:rsidR="0051406A" w:rsidRDefault="0051406A" w:rsidP="0051406A"/>
    <w:p w:rsidR="0051406A" w:rsidRDefault="0051406A" w:rsidP="0051406A">
      <w:r>
        <w:t>OPR chose to focus on utilizing VMT as the alternative methodology to LOS in determining Transportation impacts under CEQA. The text of the proposed new Section 15604.3 can be found on pages 13-15 of the Preliminary Discussion Draft of Updates to the CEQA Guidelines.</w:t>
      </w:r>
    </w:p>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Default="0051406A" w:rsidP="0051406A"/>
    <w:p w:rsidR="0051406A" w:rsidRPr="00EB2027" w:rsidRDefault="00F60394" w:rsidP="0051406A">
      <w:pPr>
        <w:rPr>
          <w:b/>
          <w:sz w:val="24"/>
          <w:szCs w:val="24"/>
        </w:rPr>
      </w:pPr>
      <w:r w:rsidRPr="00EB2027">
        <w:rPr>
          <w:b/>
          <w:sz w:val="24"/>
          <w:szCs w:val="24"/>
        </w:rPr>
        <w:lastRenderedPageBreak/>
        <w:t xml:space="preserve">SB 743 - </w:t>
      </w:r>
      <w:r w:rsidR="0051406A" w:rsidRPr="00EB2027">
        <w:rPr>
          <w:b/>
          <w:sz w:val="24"/>
          <w:szCs w:val="24"/>
        </w:rPr>
        <w:t>RCTF Discussion Points</w:t>
      </w:r>
      <w:r w:rsidR="00242B79" w:rsidRPr="00EB2027">
        <w:rPr>
          <w:b/>
          <w:sz w:val="24"/>
          <w:szCs w:val="24"/>
        </w:rPr>
        <w:t xml:space="preserve"> for CTC Meeting on October 8, 2014</w:t>
      </w:r>
      <w:r w:rsidR="0051406A" w:rsidRPr="00EB2027">
        <w:rPr>
          <w:b/>
          <w:sz w:val="24"/>
          <w:szCs w:val="24"/>
        </w:rPr>
        <w:t>:</w:t>
      </w:r>
    </w:p>
    <w:p w:rsidR="001F7DD4" w:rsidRPr="00EB2027" w:rsidRDefault="001F7DD4" w:rsidP="0051406A">
      <w:pPr>
        <w:rPr>
          <w:sz w:val="24"/>
          <w:szCs w:val="24"/>
        </w:rPr>
      </w:pPr>
    </w:p>
    <w:p w:rsidR="004F47D0" w:rsidRPr="00EB2027" w:rsidRDefault="004F47D0" w:rsidP="0051406A">
      <w:pPr>
        <w:rPr>
          <w:sz w:val="24"/>
          <w:szCs w:val="24"/>
        </w:rPr>
      </w:pPr>
    </w:p>
    <w:p w:rsidR="00F60394" w:rsidRPr="00EB2027" w:rsidRDefault="00F60394" w:rsidP="0051406A">
      <w:pPr>
        <w:rPr>
          <w:sz w:val="24"/>
          <w:szCs w:val="24"/>
          <w:u w:val="single"/>
        </w:rPr>
      </w:pPr>
      <w:r w:rsidRPr="00EB2027">
        <w:rPr>
          <w:sz w:val="24"/>
          <w:szCs w:val="24"/>
          <w:u w:val="single"/>
        </w:rPr>
        <w:t>Purpose of SB 743 as it relates to rural areas:</w:t>
      </w:r>
    </w:p>
    <w:p w:rsidR="00F60394" w:rsidRPr="00EB2027" w:rsidRDefault="00F60394" w:rsidP="0051406A">
      <w:pPr>
        <w:rPr>
          <w:sz w:val="24"/>
          <w:szCs w:val="24"/>
        </w:rPr>
      </w:pPr>
    </w:p>
    <w:p w:rsidR="001F7DD4" w:rsidRPr="00EB2027" w:rsidRDefault="001F7DD4" w:rsidP="001F7DD4">
      <w:pPr>
        <w:pStyle w:val="ListParagraph"/>
        <w:numPr>
          <w:ilvl w:val="0"/>
          <w:numId w:val="1"/>
        </w:numPr>
        <w:rPr>
          <w:sz w:val="24"/>
          <w:szCs w:val="24"/>
        </w:rPr>
      </w:pPr>
      <w:r w:rsidRPr="00EB2027">
        <w:rPr>
          <w:sz w:val="24"/>
          <w:szCs w:val="24"/>
        </w:rPr>
        <w:t>The effectiveness of achieving the goals of reduced VMT is dependent on high population and land use densities</w:t>
      </w:r>
    </w:p>
    <w:p w:rsidR="001F7DD4" w:rsidRPr="00EB2027" w:rsidRDefault="001F7DD4" w:rsidP="001F7DD4">
      <w:pPr>
        <w:pStyle w:val="ListParagraph"/>
        <w:numPr>
          <w:ilvl w:val="0"/>
          <w:numId w:val="1"/>
        </w:numPr>
        <w:rPr>
          <w:sz w:val="24"/>
          <w:szCs w:val="24"/>
        </w:rPr>
      </w:pPr>
      <w:r w:rsidRPr="00EB2027">
        <w:rPr>
          <w:sz w:val="24"/>
          <w:szCs w:val="24"/>
        </w:rPr>
        <w:t xml:space="preserve">These high </w:t>
      </w:r>
      <w:r w:rsidR="003A7239" w:rsidRPr="00EB2027">
        <w:rPr>
          <w:sz w:val="24"/>
          <w:szCs w:val="24"/>
        </w:rPr>
        <w:t xml:space="preserve">population and high </w:t>
      </w:r>
      <w:r w:rsidRPr="00EB2027">
        <w:rPr>
          <w:sz w:val="24"/>
          <w:szCs w:val="24"/>
        </w:rPr>
        <w:t xml:space="preserve">density land uses are sparse in rural areas, often </w:t>
      </w:r>
      <w:proofErr w:type="gramStart"/>
      <w:r w:rsidRPr="00EB2027">
        <w:rPr>
          <w:sz w:val="24"/>
          <w:szCs w:val="24"/>
        </w:rPr>
        <w:t>times</w:t>
      </w:r>
      <w:proofErr w:type="gramEnd"/>
      <w:r w:rsidRPr="00EB2027">
        <w:rPr>
          <w:sz w:val="24"/>
          <w:szCs w:val="24"/>
        </w:rPr>
        <w:t xml:space="preserve"> basic needs are not met in small rural communities</w:t>
      </w:r>
      <w:r w:rsidR="00553C3D" w:rsidRPr="00EB2027">
        <w:rPr>
          <w:sz w:val="24"/>
          <w:szCs w:val="24"/>
        </w:rPr>
        <w:t>,</w:t>
      </w:r>
      <w:r w:rsidRPr="00EB2027">
        <w:rPr>
          <w:sz w:val="24"/>
          <w:szCs w:val="24"/>
        </w:rPr>
        <w:t xml:space="preserve"> which requires residents to travel long distan</w:t>
      </w:r>
      <w:r w:rsidR="008437DD" w:rsidRPr="00EB2027">
        <w:rPr>
          <w:sz w:val="24"/>
          <w:szCs w:val="24"/>
        </w:rPr>
        <w:t xml:space="preserve">ces for </w:t>
      </w:r>
      <w:r w:rsidR="00805DC5" w:rsidRPr="00EB2027">
        <w:rPr>
          <w:sz w:val="24"/>
          <w:szCs w:val="24"/>
        </w:rPr>
        <w:t xml:space="preserve">goods, </w:t>
      </w:r>
      <w:r w:rsidR="008437DD" w:rsidRPr="00EB2027">
        <w:rPr>
          <w:sz w:val="24"/>
          <w:szCs w:val="24"/>
        </w:rPr>
        <w:t xml:space="preserve">services, employment, education and healthcare. </w:t>
      </w:r>
    </w:p>
    <w:p w:rsidR="004042FA" w:rsidRPr="00EB2027" w:rsidRDefault="004042FA" w:rsidP="004042FA">
      <w:pPr>
        <w:pStyle w:val="ListParagraph"/>
        <w:numPr>
          <w:ilvl w:val="0"/>
          <w:numId w:val="1"/>
        </w:numPr>
        <w:rPr>
          <w:sz w:val="24"/>
          <w:szCs w:val="24"/>
        </w:rPr>
      </w:pPr>
      <w:r w:rsidRPr="00EB2027">
        <w:rPr>
          <w:sz w:val="24"/>
          <w:szCs w:val="24"/>
        </w:rPr>
        <w:t xml:space="preserve">The current mode split for alternative modes of transportation in rural areas is generally low and the longer distances between destinations and terrain tend to limit bicycling and walking as an alternative to the automobile.  </w:t>
      </w:r>
    </w:p>
    <w:p w:rsidR="00805DC5" w:rsidRPr="00EB2027" w:rsidRDefault="004042FA" w:rsidP="004042FA">
      <w:pPr>
        <w:pStyle w:val="ListParagraph"/>
        <w:numPr>
          <w:ilvl w:val="0"/>
          <w:numId w:val="1"/>
        </w:numPr>
        <w:rPr>
          <w:sz w:val="24"/>
          <w:szCs w:val="24"/>
        </w:rPr>
      </w:pPr>
      <w:r w:rsidRPr="00EB2027">
        <w:rPr>
          <w:sz w:val="24"/>
          <w:szCs w:val="24"/>
        </w:rPr>
        <w:t xml:space="preserve">Due to limited funding, transit in rural areas - although it is available is limited in its coverage and frequency and is not a convenient alternative to the automobile.  </w:t>
      </w:r>
    </w:p>
    <w:p w:rsidR="004042FA" w:rsidRPr="00EB2027" w:rsidRDefault="004042FA" w:rsidP="00805DC5">
      <w:pPr>
        <w:pStyle w:val="ListParagraph"/>
        <w:numPr>
          <w:ilvl w:val="0"/>
          <w:numId w:val="1"/>
        </w:numPr>
        <w:rPr>
          <w:sz w:val="24"/>
          <w:szCs w:val="24"/>
        </w:rPr>
      </w:pPr>
      <w:r w:rsidRPr="00EB2027">
        <w:rPr>
          <w:sz w:val="24"/>
          <w:szCs w:val="24"/>
        </w:rPr>
        <w:t xml:space="preserve">For these reasons allowing a key transportation corridor in a rural area to degrade in LOS will most likely </w:t>
      </w:r>
      <w:r w:rsidRPr="00EB2027">
        <w:rPr>
          <w:sz w:val="24"/>
          <w:szCs w:val="24"/>
          <w:u w:val="single"/>
        </w:rPr>
        <w:t>not</w:t>
      </w:r>
      <w:r w:rsidRPr="00EB2027">
        <w:rPr>
          <w:sz w:val="24"/>
          <w:szCs w:val="24"/>
        </w:rPr>
        <w:t xml:space="preserve"> result in forcing people out of their cars, but rather they will most likely look for alternative routes to drive that are not as direct and result in higher VMT.  </w:t>
      </w:r>
    </w:p>
    <w:p w:rsidR="001F7DD4" w:rsidRPr="00EB2027" w:rsidRDefault="009D2684" w:rsidP="001F7DD4">
      <w:pPr>
        <w:pStyle w:val="ListParagraph"/>
        <w:numPr>
          <w:ilvl w:val="0"/>
          <w:numId w:val="1"/>
        </w:numPr>
        <w:rPr>
          <w:sz w:val="24"/>
          <w:szCs w:val="24"/>
        </w:rPr>
      </w:pPr>
      <w:r w:rsidRPr="00EB2027">
        <w:rPr>
          <w:sz w:val="24"/>
          <w:szCs w:val="24"/>
        </w:rPr>
        <w:t xml:space="preserve">There is also some concern </w:t>
      </w:r>
      <w:r w:rsidR="00F45859" w:rsidRPr="00EB2027">
        <w:rPr>
          <w:sz w:val="24"/>
          <w:szCs w:val="24"/>
        </w:rPr>
        <w:t>that</w:t>
      </w:r>
      <w:r w:rsidR="003A7239" w:rsidRPr="00EB2027">
        <w:rPr>
          <w:sz w:val="24"/>
          <w:szCs w:val="24"/>
        </w:rPr>
        <w:t xml:space="preserve"> </w:t>
      </w:r>
      <w:r w:rsidR="00F45859" w:rsidRPr="00EB2027">
        <w:rPr>
          <w:sz w:val="24"/>
          <w:szCs w:val="24"/>
        </w:rPr>
        <w:t xml:space="preserve">developer impact funding for </w:t>
      </w:r>
      <w:r w:rsidR="003A7239" w:rsidRPr="00EB2027">
        <w:rPr>
          <w:sz w:val="24"/>
          <w:szCs w:val="24"/>
        </w:rPr>
        <w:t>transportation</w:t>
      </w:r>
      <w:r w:rsidRPr="00EB2027">
        <w:rPr>
          <w:sz w:val="24"/>
          <w:szCs w:val="24"/>
        </w:rPr>
        <w:t xml:space="preserve"> is</w:t>
      </w:r>
      <w:r w:rsidR="008437DD" w:rsidRPr="00EB2027">
        <w:rPr>
          <w:sz w:val="24"/>
          <w:szCs w:val="24"/>
        </w:rPr>
        <w:t xml:space="preserve"> typically</w:t>
      </w:r>
      <w:r w:rsidRPr="00EB2027">
        <w:rPr>
          <w:sz w:val="24"/>
          <w:szCs w:val="24"/>
        </w:rPr>
        <w:t xml:space="preserve"> limited to infrastructure improvements as opposed to transit operations</w:t>
      </w:r>
    </w:p>
    <w:p w:rsidR="008437DD" w:rsidRDefault="008437DD" w:rsidP="001F7DD4">
      <w:pPr>
        <w:rPr>
          <w:sz w:val="24"/>
          <w:szCs w:val="24"/>
        </w:rPr>
      </w:pPr>
    </w:p>
    <w:p w:rsidR="00EB2027" w:rsidRPr="00EB2027" w:rsidRDefault="00EB2027" w:rsidP="001F7DD4">
      <w:pPr>
        <w:rPr>
          <w:sz w:val="24"/>
          <w:szCs w:val="24"/>
        </w:rPr>
      </w:pPr>
    </w:p>
    <w:p w:rsidR="001F7DD4" w:rsidRPr="00EB2027" w:rsidRDefault="00F60394" w:rsidP="001F7DD4">
      <w:pPr>
        <w:rPr>
          <w:sz w:val="24"/>
          <w:szCs w:val="24"/>
          <w:u w:val="single"/>
        </w:rPr>
      </w:pPr>
      <w:r w:rsidRPr="00EB2027">
        <w:rPr>
          <w:sz w:val="24"/>
          <w:szCs w:val="24"/>
          <w:u w:val="single"/>
        </w:rPr>
        <w:t>Technical Challenges for Rural Agencies:</w:t>
      </w:r>
    </w:p>
    <w:p w:rsidR="00F60394" w:rsidRPr="00EB2027" w:rsidRDefault="00F60394" w:rsidP="001F7DD4">
      <w:pPr>
        <w:rPr>
          <w:sz w:val="24"/>
          <w:szCs w:val="24"/>
        </w:rPr>
      </w:pPr>
    </w:p>
    <w:p w:rsidR="003A7239" w:rsidRPr="00EB2027" w:rsidRDefault="003A7239" w:rsidP="003A7239">
      <w:pPr>
        <w:pStyle w:val="ListParagraph"/>
        <w:numPr>
          <w:ilvl w:val="0"/>
          <w:numId w:val="2"/>
        </w:numPr>
        <w:rPr>
          <w:sz w:val="24"/>
          <w:szCs w:val="24"/>
        </w:rPr>
      </w:pPr>
      <w:r w:rsidRPr="00EB2027">
        <w:rPr>
          <w:sz w:val="24"/>
          <w:szCs w:val="24"/>
        </w:rPr>
        <w:t>We anticipate that rural agencies will have a</w:t>
      </w:r>
      <w:r w:rsidR="00F60394" w:rsidRPr="00EB2027">
        <w:rPr>
          <w:sz w:val="24"/>
          <w:szCs w:val="24"/>
        </w:rPr>
        <w:t xml:space="preserve"> technical </w:t>
      </w:r>
      <w:r w:rsidR="008437DD" w:rsidRPr="00EB2027">
        <w:rPr>
          <w:sz w:val="24"/>
          <w:szCs w:val="24"/>
        </w:rPr>
        <w:t xml:space="preserve">staffing </w:t>
      </w:r>
      <w:r w:rsidR="00F60394" w:rsidRPr="00EB2027">
        <w:rPr>
          <w:sz w:val="24"/>
          <w:szCs w:val="24"/>
        </w:rPr>
        <w:t xml:space="preserve">challenge </w:t>
      </w:r>
      <w:r w:rsidRPr="00EB2027">
        <w:rPr>
          <w:sz w:val="24"/>
          <w:szCs w:val="24"/>
        </w:rPr>
        <w:t xml:space="preserve">and associated cost </w:t>
      </w:r>
      <w:r w:rsidR="008437DD" w:rsidRPr="00EB2027">
        <w:rPr>
          <w:sz w:val="24"/>
          <w:szCs w:val="24"/>
        </w:rPr>
        <w:t>with</w:t>
      </w:r>
      <w:r w:rsidRPr="00EB2027">
        <w:rPr>
          <w:sz w:val="24"/>
          <w:szCs w:val="24"/>
        </w:rPr>
        <w:t xml:space="preserve"> the establishment of</w:t>
      </w:r>
      <w:r w:rsidR="00F60394" w:rsidRPr="00EB2027">
        <w:rPr>
          <w:sz w:val="24"/>
          <w:szCs w:val="24"/>
        </w:rPr>
        <w:t xml:space="preserve"> a Regional Average VMT by land use</w:t>
      </w:r>
      <w:r w:rsidRPr="00EB2027">
        <w:rPr>
          <w:sz w:val="24"/>
          <w:szCs w:val="24"/>
        </w:rPr>
        <w:t xml:space="preserve"> type</w:t>
      </w:r>
      <w:r w:rsidR="00F60394" w:rsidRPr="00EB2027">
        <w:rPr>
          <w:sz w:val="24"/>
          <w:szCs w:val="24"/>
        </w:rPr>
        <w:t xml:space="preserve">. </w:t>
      </w:r>
    </w:p>
    <w:p w:rsidR="00242B79" w:rsidRPr="00EB2027" w:rsidRDefault="003A7239" w:rsidP="003A7239">
      <w:pPr>
        <w:pStyle w:val="ListParagraph"/>
        <w:numPr>
          <w:ilvl w:val="0"/>
          <w:numId w:val="2"/>
        </w:numPr>
        <w:rPr>
          <w:sz w:val="24"/>
          <w:szCs w:val="24"/>
        </w:rPr>
      </w:pPr>
      <w:r w:rsidRPr="00EB2027">
        <w:rPr>
          <w:sz w:val="24"/>
          <w:szCs w:val="24"/>
        </w:rPr>
        <w:t>It is anticipated that</w:t>
      </w:r>
      <w:r w:rsidR="00F60394" w:rsidRPr="00EB2027">
        <w:rPr>
          <w:sz w:val="24"/>
          <w:szCs w:val="24"/>
        </w:rPr>
        <w:t xml:space="preserve"> </w:t>
      </w:r>
      <w:r w:rsidRPr="00EB2027">
        <w:rPr>
          <w:sz w:val="24"/>
          <w:szCs w:val="24"/>
        </w:rPr>
        <w:t xml:space="preserve">local </w:t>
      </w:r>
      <w:r w:rsidR="00F60394" w:rsidRPr="00EB2027">
        <w:rPr>
          <w:sz w:val="24"/>
          <w:szCs w:val="24"/>
        </w:rPr>
        <w:t>rural jurisdictions will look to the rural RTPAs to develop the Regional Average VMT</w:t>
      </w:r>
      <w:r w:rsidR="00242B79" w:rsidRPr="00EB2027">
        <w:rPr>
          <w:sz w:val="24"/>
          <w:szCs w:val="24"/>
        </w:rPr>
        <w:t>.</w:t>
      </w:r>
    </w:p>
    <w:p w:rsidR="00242B79" w:rsidRPr="00EB2027" w:rsidRDefault="00242B79" w:rsidP="003A7239">
      <w:pPr>
        <w:pStyle w:val="ListParagraph"/>
        <w:numPr>
          <w:ilvl w:val="0"/>
          <w:numId w:val="2"/>
        </w:numPr>
        <w:rPr>
          <w:sz w:val="24"/>
          <w:szCs w:val="24"/>
        </w:rPr>
      </w:pPr>
      <w:r w:rsidRPr="00EB2027">
        <w:rPr>
          <w:sz w:val="24"/>
          <w:szCs w:val="24"/>
        </w:rPr>
        <w:t>This</w:t>
      </w:r>
      <w:r w:rsidR="00F60394" w:rsidRPr="00EB2027">
        <w:rPr>
          <w:sz w:val="24"/>
          <w:szCs w:val="24"/>
        </w:rPr>
        <w:t xml:space="preserve"> data does not currently exist in a shelf ready format. In order to establish a legally defensible Regional Average VMT by land use, it will </w:t>
      </w:r>
      <w:r w:rsidR="00BD21FD" w:rsidRPr="00EB2027">
        <w:rPr>
          <w:sz w:val="24"/>
          <w:szCs w:val="24"/>
        </w:rPr>
        <w:t xml:space="preserve">need to be </w:t>
      </w:r>
      <w:r w:rsidR="00F60394" w:rsidRPr="00EB2027">
        <w:rPr>
          <w:sz w:val="24"/>
          <w:szCs w:val="24"/>
        </w:rPr>
        <w:t xml:space="preserve">developed by the RTPA staff or contracted out to a consulting firm. </w:t>
      </w:r>
      <w:r w:rsidR="00BD21FD" w:rsidRPr="00EB2027">
        <w:rPr>
          <w:sz w:val="24"/>
          <w:szCs w:val="24"/>
        </w:rPr>
        <w:t xml:space="preserve">This could result in an additional funding need for rural agencies. </w:t>
      </w:r>
    </w:p>
    <w:p w:rsidR="00F60394" w:rsidRPr="00EB2027" w:rsidRDefault="008437DD" w:rsidP="003A7239">
      <w:pPr>
        <w:pStyle w:val="ListParagraph"/>
        <w:numPr>
          <w:ilvl w:val="0"/>
          <w:numId w:val="2"/>
        </w:numPr>
        <w:rPr>
          <w:sz w:val="24"/>
          <w:szCs w:val="24"/>
        </w:rPr>
      </w:pPr>
      <w:r w:rsidRPr="00EB2027">
        <w:rPr>
          <w:sz w:val="24"/>
          <w:szCs w:val="24"/>
        </w:rPr>
        <w:t>We request that</w:t>
      </w:r>
      <w:r w:rsidR="00F60394" w:rsidRPr="00EB2027">
        <w:rPr>
          <w:sz w:val="24"/>
          <w:szCs w:val="24"/>
        </w:rPr>
        <w:t xml:space="preserve"> OPR </w:t>
      </w:r>
      <w:r w:rsidRPr="00EB2027">
        <w:rPr>
          <w:sz w:val="24"/>
          <w:szCs w:val="24"/>
        </w:rPr>
        <w:t xml:space="preserve">work with the RCTF </w:t>
      </w:r>
      <w:r w:rsidR="00242B79" w:rsidRPr="00EB2027">
        <w:rPr>
          <w:sz w:val="24"/>
          <w:szCs w:val="24"/>
        </w:rPr>
        <w:t>to</w:t>
      </w:r>
      <w:r w:rsidR="00F60394" w:rsidRPr="00EB2027">
        <w:rPr>
          <w:sz w:val="24"/>
          <w:szCs w:val="24"/>
        </w:rPr>
        <w:t xml:space="preserve"> develop a simple methodology for rural areas under a certain population threshold </w:t>
      </w:r>
      <w:r w:rsidR="00242B79" w:rsidRPr="00EB2027">
        <w:rPr>
          <w:sz w:val="24"/>
          <w:szCs w:val="24"/>
        </w:rPr>
        <w:t>to utilize</w:t>
      </w:r>
      <w:r w:rsidR="00F60394" w:rsidRPr="00EB2027">
        <w:rPr>
          <w:sz w:val="24"/>
          <w:szCs w:val="24"/>
        </w:rPr>
        <w:t xml:space="preserve"> trip generation by land use type, </w:t>
      </w:r>
      <w:r w:rsidRPr="00EB2027">
        <w:rPr>
          <w:sz w:val="24"/>
          <w:szCs w:val="24"/>
        </w:rPr>
        <w:t>ideally using</w:t>
      </w:r>
      <w:r w:rsidR="00242B79" w:rsidRPr="00EB2027">
        <w:rPr>
          <w:sz w:val="24"/>
          <w:szCs w:val="24"/>
        </w:rPr>
        <w:t xml:space="preserve"> data </w:t>
      </w:r>
      <w:r w:rsidRPr="00EB2027">
        <w:rPr>
          <w:sz w:val="24"/>
          <w:szCs w:val="24"/>
        </w:rPr>
        <w:t xml:space="preserve">that </w:t>
      </w:r>
      <w:r w:rsidR="00242B79" w:rsidRPr="00EB2027">
        <w:rPr>
          <w:sz w:val="24"/>
          <w:szCs w:val="24"/>
        </w:rPr>
        <w:t xml:space="preserve">is readily available in the ITE handbook and existing traffic models. </w:t>
      </w:r>
    </w:p>
    <w:p w:rsidR="00F60394" w:rsidRPr="00EB2027" w:rsidRDefault="00953912" w:rsidP="00953912">
      <w:pPr>
        <w:pStyle w:val="ListParagraph"/>
        <w:numPr>
          <w:ilvl w:val="0"/>
          <w:numId w:val="2"/>
        </w:numPr>
        <w:rPr>
          <w:sz w:val="24"/>
          <w:szCs w:val="24"/>
        </w:rPr>
      </w:pPr>
      <w:r w:rsidRPr="00EB2027">
        <w:rPr>
          <w:sz w:val="24"/>
          <w:szCs w:val="24"/>
        </w:rPr>
        <w:t>We are</w:t>
      </w:r>
      <w:r w:rsidR="00F60394" w:rsidRPr="00EB2027">
        <w:rPr>
          <w:sz w:val="24"/>
          <w:szCs w:val="24"/>
        </w:rPr>
        <w:t xml:space="preserve"> also concerned about the induced demand analysis required for capacity increasing projects. There needs to be more substantial evidence to justify where to draw the line in relation to impacts versus benefits. Each project and location is unique. Having congested roadways could lead to an increase in VMT </w:t>
      </w:r>
      <w:r w:rsidR="008437DD" w:rsidRPr="00EB2027">
        <w:rPr>
          <w:sz w:val="24"/>
          <w:szCs w:val="24"/>
        </w:rPr>
        <w:t xml:space="preserve">in rural communities </w:t>
      </w:r>
      <w:r w:rsidR="00F60394" w:rsidRPr="00EB2027">
        <w:rPr>
          <w:sz w:val="24"/>
          <w:szCs w:val="24"/>
        </w:rPr>
        <w:t>due to drivers seeking a way around the congested roadways.</w:t>
      </w:r>
    </w:p>
    <w:p w:rsidR="004F47D0" w:rsidRPr="00EB2027" w:rsidRDefault="004F47D0" w:rsidP="001F7DD4">
      <w:pPr>
        <w:rPr>
          <w:sz w:val="24"/>
          <w:szCs w:val="24"/>
        </w:rPr>
      </w:pPr>
    </w:p>
    <w:p w:rsidR="00805DC5" w:rsidRPr="00EB2027" w:rsidRDefault="00805DC5" w:rsidP="001F7DD4">
      <w:pPr>
        <w:rPr>
          <w:sz w:val="24"/>
          <w:szCs w:val="24"/>
        </w:rPr>
      </w:pPr>
    </w:p>
    <w:p w:rsidR="00F60394" w:rsidRPr="00EB2027" w:rsidRDefault="00F60394" w:rsidP="001F7DD4">
      <w:pPr>
        <w:rPr>
          <w:sz w:val="24"/>
          <w:szCs w:val="24"/>
          <w:u w:val="single"/>
        </w:rPr>
      </w:pPr>
      <w:r w:rsidRPr="00EB2027">
        <w:rPr>
          <w:sz w:val="24"/>
          <w:szCs w:val="24"/>
          <w:u w:val="single"/>
        </w:rPr>
        <w:t>Relationship to General Plan LOS Standards</w:t>
      </w:r>
    </w:p>
    <w:p w:rsidR="00F60394" w:rsidRPr="00EB2027" w:rsidRDefault="00953912" w:rsidP="00953912">
      <w:pPr>
        <w:pStyle w:val="ListParagraph"/>
        <w:numPr>
          <w:ilvl w:val="0"/>
          <w:numId w:val="3"/>
        </w:numPr>
        <w:rPr>
          <w:sz w:val="24"/>
          <w:szCs w:val="24"/>
        </w:rPr>
      </w:pPr>
      <w:r w:rsidRPr="00EB2027">
        <w:rPr>
          <w:sz w:val="24"/>
          <w:szCs w:val="24"/>
        </w:rPr>
        <w:t xml:space="preserve">We are concerned about the difference between potential mitigation measures based on LOS versus those based on VMT. </w:t>
      </w:r>
      <w:r w:rsidR="00242B79" w:rsidRPr="00EB2027">
        <w:rPr>
          <w:sz w:val="24"/>
          <w:szCs w:val="24"/>
        </w:rPr>
        <w:t>The</w:t>
      </w:r>
      <w:r w:rsidR="00F60394" w:rsidRPr="00EB2027">
        <w:rPr>
          <w:sz w:val="24"/>
          <w:szCs w:val="24"/>
        </w:rPr>
        <w:t xml:space="preserve"> guidance states that Cities and Counties that have LOS standards adopted in their general plans or fee programs can still utilize LOS to determine and enact </w:t>
      </w:r>
      <w:r w:rsidRPr="00EB2027">
        <w:rPr>
          <w:sz w:val="24"/>
          <w:szCs w:val="24"/>
        </w:rPr>
        <w:t xml:space="preserve">previously adopted </w:t>
      </w:r>
      <w:r w:rsidR="00F60394" w:rsidRPr="00EB2027">
        <w:rPr>
          <w:sz w:val="24"/>
          <w:szCs w:val="24"/>
        </w:rPr>
        <w:t xml:space="preserve">mitigation measures, </w:t>
      </w:r>
      <w:r w:rsidRPr="00EB2027">
        <w:rPr>
          <w:sz w:val="24"/>
          <w:szCs w:val="24"/>
        </w:rPr>
        <w:t xml:space="preserve">we are </w:t>
      </w:r>
      <w:r w:rsidR="00242B79" w:rsidRPr="00EB2027">
        <w:rPr>
          <w:sz w:val="24"/>
          <w:szCs w:val="24"/>
        </w:rPr>
        <w:t>concern</w:t>
      </w:r>
      <w:r w:rsidRPr="00EB2027">
        <w:rPr>
          <w:sz w:val="24"/>
          <w:szCs w:val="24"/>
        </w:rPr>
        <w:t>ed</w:t>
      </w:r>
      <w:r w:rsidR="00242B79" w:rsidRPr="00EB2027">
        <w:rPr>
          <w:sz w:val="24"/>
          <w:szCs w:val="24"/>
        </w:rPr>
        <w:t xml:space="preserve"> that this inconsistency will set </w:t>
      </w:r>
      <w:r w:rsidR="00F60394" w:rsidRPr="00EB2027">
        <w:rPr>
          <w:sz w:val="24"/>
          <w:szCs w:val="24"/>
        </w:rPr>
        <w:t xml:space="preserve">the stage for potential conflict with CEQA </w:t>
      </w:r>
      <w:r w:rsidRPr="00EB2027">
        <w:rPr>
          <w:sz w:val="24"/>
          <w:szCs w:val="24"/>
        </w:rPr>
        <w:t>resulting in</w:t>
      </w:r>
      <w:r w:rsidR="00F60394" w:rsidRPr="00EB2027">
        <w:rPr>
          <w:sz w:val="24"/>
          <w:szCs w:val="24"/>
        </w:rPr>
        <w:t xml:space="preserve"> legal challenge</w:t>
      </w:r>
      <w:r w:rsidR="00242B79" w:rsidRPr="00EB2027">
        <w:rPr>
          <w:sz w:val="24"/>
          <w:szCs w:val="24"/>
        </w:rPr>
        <w:t>s to these mitigation measures.</w:t>
      </w:r>
    </w:p>
    <w:p w:rsidR="00F60394" w:rsidRPr="00EB2027" w:rsidRDefault="00F60394" w:rsidP="0051406A">
      <w:pPr>
        <w:rPr>
          <w:sz w:val="24"/>
          <w:szCs w:val="24"/>
        </w:rPr>
      </w:pPr>
    </w:p>
    <w:p w:rsidR="00F60394" w:rsidRPr="00EB2027" w:rsidRDefault="00F60394" w:rsidP="0051406A">
      <w:pPr>
        <w:rPr>
          <w:sz w:val="24"/>
          <w:szCs w:val="24"/>
          <w:u w:val="single"/>
        </w:rPr>
      </w:pPr>
      <w:r w:rsidRPr="00EB2027">
        <w:rPr>
          <w:sz w:val="24"/>
          <w:szCs w:val="24"/>
          <w:u w:val="single"/>
        </w:rPr>
        <w:t>Moving Forward</w:t>
      </w:r>
    </w:p>
    <w:p w:rsidR="009D2684" w:rsidRPr="00EB2027" w:rsidRDefault="009D2684" w:rsidP="009D2684">
      <w:pPr>
        <w:rPr>
          <w:sz w:val="24"/>
          <w:szCs w:val="24"/>
        </w:rPr>
      </w:pPr>
    </w:p>
    <w:p w:rsidR="00553C3D" w:rsidRPr="00EB2027" w:rsidRDefault="00553C3D" w:rsidP="00553C3D">
      <w:pPr>
        <w:pStyle w:val="ListParagraph"/>
        <w:numPr>
          <w:ilvl w:val="0"/>
          <w:numId w:val="1"/>
        </w:numPr>
        <w:rPr>
          <w:sz w:val="24"/>
          <w:szCs w:val="24"/>
        </w:rPr>
      </w:pPr>
      <w:r w:rsidRPr="00EB2027">
        <w:rPr>
          <w:sz w:val="24"/>
          <w:szCs w:val="24"/>
        </w:rPr>
        <w:t xml:space="preserve">While we recognize that encouragement to use alternative modes must start somewhere, the appropriateness of this approach in sparsely populated rural areas may need to be explored further. </w:t>
      </w:r>
    </w:p>
    <w:p w:rsidR="00953912" w:rsidRPr="00EB2027" w:rsidRDefault="00953912" w:rsidP="00953912">
      <w:pPr>
        <w:pStyle w:val="ListParagraph"/>
        <w:numPr>
          <w:ilvl w:val="0"/>
          <w:numId w:val="1"/>
        </w:numPr>
        <w:rPr>
          <w:sz w:val="24"/>
          <w:szCs w:val="24"/>
        </w:rPr>
      </w:pPr>
      <w:r w:rsidRPr="00EB2027">
        <w:rPr>
          <w:sz w:val="24"/>
          <w:szCs w:val="24"/>
        </w:rPr>
        <w:t>We support the phased approach to implementation, and appreciate that OPR will continue to study the application of VMT</w:t>
      </w:r>
      <w:r w:rsidR="00E34C41">
        <w:rPr>
          <w:sz w:val="24"/>
          <w:szCs w:val="24"/>
        </w:rPr>
        <w:t xml:space="preserve"> and other alternative methodologies</w:t>
      </w:r>
      <w:r w:rsidRPr="00EB2027">
        <w:rPr>
          <w:sz w:val="24"/>
          <w:szCs w:val="24"/>
        </w:rPr>
        <w:t xml:space="preserve"> in the environmental review process. </w:t>
      </w:r>
    </w:p>
    <w:p w:rsidR="009D2684" w:rsidRPr="00EB2027" w:rsidRDefault="00553C3D" w:rsidP="0051406A">
      <w:pPr>
        <w:pStyle w:val="ListParagraph"/>
        <w:numPr>
          <w:ilvl w:val="0"/>
          <w:numId w:val="1"/>
        </w:numPr>
        <w:rPr>
          <w:sz w:val="24"/>
          <w:szCs w:val="24"/>
        </w:rPr>
      </w:pPr>
      <w:r w:rsidRPr="00EB2027">
        <w:rPr>
          <w:sz w:val="24"/>
          <w:szCs w:val="24"/>
        </w:rPr>
        <w:t xml:space="preserve">We encourage OPR to </w:t>
      </w:r>
      <w:r w:rsidR="008437DD" w:rsidRPr="00EB2027">
        <w:rPr>
          <w:sz w:val="24"/>
          <w:szCs w:val="24"/>
        </w:rPr>
        <w:t xml:space="preserve">work with the RCTF to </w:t>
      </w:r>
      <w:r w:rsidR="00E34C41">
        <w:rPr>
          <w:sz w:val="24"/>
          <w:szCs w:val="24"/>
        </w:rPr>
        <w:t xml:space="preserve">collaboratively </w:t>
      </w:r>
      <w:r w:rsidR="008437DD" w:rsidRPr="00EB2027">
        <w:rPr>
          <w:sz w:val="24"/>
          <w:szCs w:val="24"/>
        </w:rPr>
        <w:t>develop rural area case studies</w:t>
      </w:r>
      <w:r w:rsidRPr="00EB2027">
        <w:rPr>
          <w:sz w:val="24"/>
          <w:szCs w:val="24"/>
        </w:rPr>
        <w:t xml:space="preserve"> </w:t>
      </w:r>
      <w:r w:rsidR="00E34C41">
        <w:rPr>
          <w:sz w:val="24"/>
          <w:szCs w:val="24"/>
        </w:rPr>
        <w:t>and methodologies appropriate for use in rural areas</w:t>
      </w:r>
    </w:p>
    <w:p w:rsidR="0051406A" w:rsidRPr="00EB2027" w:rsidRDefault="009D2684" w:rsidP="0051406A">
      <w:pPr>
        <w:pStyle w:val="ListParagraph"/>
        <w:numPr>
          <w:ilvl w:val="0"/>
          <w:numId w:val="1"/>
        </w:numPr>
        <w:rPr>
          <w:sz w:val="24"/>
          <w:szCs w:val="24"/>
        </w:rPr>
      </w:pPr>
      <w:r w:rsidRPr="00EB2027">
        <w:rPr>
          <w:sz w:val="24"/>
          <w:szCs w:val="24"/>
        </w:rPr>
        <w:t xml:space="preserve">I appreciate the opportunity to present these concerns on behalf of the </w:t>
      </w:r>
      <w:r w:rsidR="0051406A" w:rsidRPr="00EB2027">
        <w:rPr>
          <w:sz w:val="24"/>
          <w:szCs w:val="24"/>
        </w:rPr>
        <w:t xml:space="preserve">RCTF </w:t>
      </w:r>
      <w:r w:rsidRPr="00EB2027">
        <w:rPr>
          <w:sz w:val="24"/>
          <w:szCs w:val="24"/>
        </w:rPr>
        <w:t xml:space="preserve">and we </w:t>
      </w:r>
      <w:r w:rsidR="0051406A" w:rsidRPr="00EB2027">
        <w:rPr>
          <w:sz w:val="24"/>
          <w:szCs w:val="24"/>
        </w:rPr>
        <w:t>look forward to working with OPR to address some of these concerns going forward.</w:t>
      </w:r>
    </w:p>
    <w:p w:rsidR="0051406A" w:rsidRPr="00EB2027" w:rsidRDefault="0051406A" w:rsidP="0051406A">
      <w:pPr>
        <w:rPr>
          <w:sz w:val="24"/>
          <w:szCs w:val="24"/>
        </w:rPr>
      </w:pPr>
      <w:bookmarkStart w:id="0" w:name="_GoBack"/>
      <w:bookmarkEnd w:id="0"/>
    </w:p>
    <w:sectPr w:rsidR="0051406A" w:rsidRPr="00EB2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13B02"/>
    <w:multiLevelType w:val="hybridMultilevel"/>
    <w:tmpl w:val="D332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B3A64"/>
    <w:multiLevelType w:val="hybridMultilevel"/>
    <w:tmpl w:val="790E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837681"/>
    <w:multiLevelType w:val="hybridMultilevel"/>
    <w:tmpl w:val="9628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6A"/>
    <w:rsid w:val="00085C54"/>
    <w:rsid w:val="001F7DD4"/>
    <w:rsid w:val="00242B79"/>
    <w:rsid w:val="003A7239"/>
    <w:rsid w:val="004042FA"/>
    <w:rsid w:val="004341F6"/>
    <w:rsid w:val="004F47D0"/>
    <w:rsid w:val="0051406A"/>
    <w:rsid w:val="00553C3D"/>
    <w:rsid w:val="00805DC5"/>
    <w:rsid w:val="008437DD"/>
    <w:rsid w:val="00953912"/>
    <w:rsid w:val="009D2684"/>
    <w:rsid w:val="00BD21FD"/>
    <w:rsid w:val="00E34C41"/>
    <w:rsid w:val="00EB2027"/>
    <w:rsid w:val="00F45859"/>
    <w:rsid w:val="00F60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06711-D6DE-415E-A4F6-66415F14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06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26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9C38AA-BD56-4777-9B00-2643D2D31DC0}"/>
</file>

<file path=customXml/itemProps2.xml><?xml version="1.0" encoding="utf-8"?>
<ds:datastoreItem xmlns:ds="http://schemas.openxmlformats.org/officeDocument/2006/customXml" ds:itemID="{63DC5B6B-DB58-4A4D-9B01-EEBB6105FED9}"/>
</file>

<file path=customXml/itemProps3.xml><?xml version="1.0" encoding="utf-8"?>
<ds:datastoreItem xmlns:ds="http://schemas.openxmlformats.org/officeDocument/2006/customXml" ds:itemID="{F1BC405D-C4CD-476C-8D7C-E8CF6A272EC2}"/>
</file>

<file path=docProps/app.xml><?xml version="1.0" encoding="utf-8"?>
<Properties xmlns="http://schemas.openxmlformats.org/officeDocument/2006/extended-properties" xmlns:vt="http://schemas.openxmlformats.org/officeDocument/2006/docPropsVTypes">
  <Template>Normal</Template>
  <TotalTime>163</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Barton</dc:creator>
  <cp:keywords/>
  <dc:description/>
  <cp:lastModifiedBy>Jerry Barton</cp:lastModifiedBy>
  <cp:revision>9</cp:revision>
  <cp:lastPrinted>2014-10-07T18:31:00Z</cp:lastPrinted>
  <dcterms:created xsi:type="dcterms:W3CDTF">2014-10-06T21:45:00Z</dcterms:created>
  <dcterms:modified xsi:type="dcterms:W3CDTF">2014-10-07T18:31:00Z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