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46FE" w14:textId="77777777" w:rsidR="006A44B4" w:rsidRPr="000C5E4A" w:rsidRDefault="006A44B4" w:rsidP="006A44B4">
      <w:pPr>
        <w:rPr>
          <w:noProof/>
        </w:rPr>
      </w:pPr>
    </w:p>
    <w:p w14:paraId="5EB96A3E" w14:textId="77777777" w:rsidR="006A44B4" w:rsidRPr="000C5E4A" w:rsidRDefault="006A44B4" w:rsidP="006A44B4">
      <w:pPr>
        <w:jc w:val="center"/>
        <w:rPr>
          <w:rFonts w:cstheme="minorHAnsi"/>
        </w:rPr>
      </w:pPr>
      <w:r w:rsidRPr="000C5E4A">
        <w:rPr>
          <w:rFonts w:cstheme="minorHAnsi"/>
          <w:noProof/>
        </w:rPr>
        <mc:AlternateContent>
          <mc:Choice Requires="wps">
            <w:drawing>
              <wp:anchor distT="45720" distB="45720" distL="114300" distR="114300" simplePos="0" relativeHeight="251659264" behindDoc="1" locked="0" layoutInCell="1" allowOverlap="1" wp14:anchorId="16AD6D3D" wp14:editId="2078EE9B">
                <wp:simplePos x="0" y="0"/>
                <wp:positionH relativeFrom="margin">
                  <wp:align>left</wp:align>
                </wp:positionH>
                <wp:positionV relativeFrom="paragraph">
                  <wp:posOffset>780160</wp:posOffset>
                </wp:positionV>
                <wp:extent cx="6175536" cy="508959"/>
                <wp:effectExtent l="0" t="0" r="1587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36" cy="508959"/>
                        </a:xfrm>
                        <a:prstGeom prst="rect">
                          <a:avLst/>
                        </a:prstGeom>
                        <a:solidFill>
                          <a:srgbClr val="FFFFFF"/>
                        </a:solidFill>
                        <a:ln w="9525">
                          <a:solidFill>
                            <a:srgbClr val="004A48"/>
                          </a:solidFill>
                          <a:miter lim="800000"/>
                          <a:headEnd/>
                          <a:tailEnd/>
                        </a:ln>
                      </wps:spPr>
                      <wps:txbx>
                        <w:txbxContent>
                          <w:p w14:paraId="7FC59976" w14:textId="77777777" w:rsidR="006A44B4" w:rsidRPr="00BC252A" w:rsidRDefault="006A44B4" w:rsidP="006A44B4">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proofErr w:type="spellStart"/>
                            <w:r w:rsidRPr="00BC252A">
                              <w:rPr>
                                <w:b/>
                                <w:bCs/>
                                <w:color w:val="004A48"/>
                                <w:sz w:val="20"/>
                                <w:szCs w:val="20"/>
                              </w:rPr>
                              <w:t>Nephele</w:t>
                            </w:r>
                            <w:proofErr w:type="spellEnd"/>
                            <w:r w:rsidRPr="00BC252A">
                              <w:rPr>
                                <w:b/>
                                <w:bCs/>
                                <w:color w:val="004A48"/>
                                <w:sz w:val="20"/>
                                <w:szCs w:val="20"/>
                              </w:rPr>
                              <w:t xml:space="preserv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proofErr w:type="gramStart"/>
                            <w:r>
                              <w:rPr>
                                <w:color w:val="004A48"/>
                                <w:sz w:val="16"/>
                                <w:szCs w:val="16"/>
                              </w:rPr>
                              <w:t xml:space="preserve">  </w:t>
                            </w:r>
                            <w:r w:rsidRPr="00BC252A">
                              <w:rPr>
                                <w:color w:val="004A48"/>
                                <w:sz w:val="16"/>
                                <w:szCs w:val="16"/>
                              </w:rPr>
                              <w:t xml:space="preserve"> </w:t>
                            </w:r>
                            <w:r>
                              <w:rPr>
                                <w:color w:val="004A48"/>
                                <w:sz w:val="16"/>
                                <w:szCs w:val="16"/>
                              </w:rPr>
                              <w:t>(</w:t>
                            </w:r>
                            <w:proofErr w:type="gramEnd"/>
                            <w:r>
                              <w:rPr>
                                <w:color w:val="004A48"/>
                                <w:sz w:val="16"/>
                                <w:szCs w:val="16"/>
                              </w:rPr>
                              <w:t xml:space="preserve">530) 642-5260                                                                     </w:t>
                            </w:r>
                            <w:r w:rsidRPr="0003695F">
                              <w:rPr>
                                <w:color w:val="004A48"/>
                                <w:sz w:val="16"/>
                                <w:szCs w:val="16"/>
                              </w:rPr>
                              <w:t>(707) 463-1859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D6D3D" id="_x0000_t202" coordsize="21600,21600" o:spt="202" path="m,l,21600r21600,l21600,xe">
                <v:stroke joinstyle="miter"/>
                <v:path gradientshapeok="t" o:connecttype="rect"/>
              </v:shapetype>
              <v:shape id="Text Box 2" o:spid="_x0000_s1026" type="#_x0000_t202" style="position:absolute;left:0;text-align:left;margin-left:0;margin-top:61.45pt;width:486.25pt;height:40.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" strokecolor="#004a48">
                <v:textbox>
                  <w:txbxContent>
                    <w:p w14:paraId="7FC59976" w14:textId="77777777" w:rsidR="006A44B4" w:rsidRPr="00BC252A" w:rsidRDefault="006A44B4" w:rsidP="006A44B4">
                      <w:pPr>
                        <w:pBdr>
                          <w:bottom w:val="single" w:sz="4" w:space="1" w:color="auto"/>
                        </w:pBdr>
                        <w:rPr>
                          <w:color w:val="004A48"/>
                          <w:sz w:val="20"/>
                          <w:szCs w:val="20"/>
                        </w:rPr>
                      </w:pPr>
                      <w:r>
                        <w:rPr>
                          <w:b/>
                          <w:bCs/>
                          <w:color w:val="004A48"/>
                          <w:sz w:val="20"/>
                          <w:szCs w:val="20"/>
                        </w:rPr>
                        <w:t xml:space="preserve">   </w:t>
                      </w:r>
                      <w:r w:rsidRPr="00BC252A">
                        <w:rPr>
                          <w:b/>
                          <w:bCs/>
                          <w:color w:val="004A48"/>
                          <w:sz w:val="20"/>
                          <w:szCs w:val="20"/>
                        </w:rPr>
                        <w:t xml:space="preserve">Amber Collins, Vice Chair   </w:t>
                      </w:r>
                      <w:r>
                        <w:rPr>
                          <w:b/>
                          <w:bCs/>
                          <w:color w:val="004A48"/>
                          <w:sz w:val="20"/>
                          <w:szCs w:val="20"/>
                        </w:rPr>
                        <w:t xml:space="preserve">  </w:t>
                      </w:r>
                      <w:r w:rsidRPr="00BC252A">
                        <w:rPr>
                          <w:b/>
                          <w:bCs/>
                          <w:color w:val="004A48"/>
                          <w:sz w:val="20"/>
                          <w:szCs w:val="20"/>
                        </w:rPr>
                        <w:t xml:space="preserve">    </w:t>
                      </w:r>
                      <w:r>
                        <w:rPr>
                          <w:b/>
                          <w:bCs/>
                          <w:color w:val="004A48"/>
                          <w:sz w:val="20"/>
                          <w:szCs w:val="20"/>
                        </w:rPr>
                        <w:t xml:space="preserve">                        Woodrow Deloria, Chair                            </w:t>
                      </w:r>
                      <w:proofErr w:type="spellStart"/>
                      <w:r w:rsidRPr="00BC252A">
                        <w:rPr>
                          <w:b/>
                          <w:bCs/>
                          <w:color w:val="004A48"/>
                          <w:sz w:val="20"/>
                          <w:szCs w:val="20"/>
                        </w:rPr>
                        <w:t>Nephele</w:t>
                      </w:r>
                      <w:proofErr w:type="spellEnd"/>
                      <w:r w:rsidRPr="00BC252A">
                        <w:rPr>
                          <w:b/>
                          <w:bCs/>
                          <w:color w:val="004A48"/>
                          <w:sz w:val="20"/>
                          <w:szCs w:val="20"/>
                        </w:rPr>
                        <w:t xml:space="preserve"> Barrett, Secretary</w:t>
                      </w:r>
                      <w:r w:rsidRPr="00BC252A">
                        <w:rPr>
                          <w:b/>
                          <w:bCs/>
                          <w:color w:val="004A48"/>
                          <w:sz w:val="20"/>
                          <w:szCs w:val="20"/>
                        </w:rPr>
                        <w:br/>
                      </w:r>
                      <w:r>
                        <w:rPr>
                          <w:color w:val="004A48"/>
                          <w:sz w:val="16"/>
                          <w:szCs w:val="16"/>
                        </w:rPr>
                        <w:t xml:space="preserve">  </w:t>
                      </w:r>
                      <w:r w:rsidRPr="00BC252A">
                        <w:rPr>
                          <w:color w:val="004A48"/>
                          <w:sz w:val="16"/>
                          <w:szCs w:val="16"/>
                        </w:rPr>
                        <w:t xml:space="preserve">Calaveras Council of Governments    </w:t>
                      </w:r>
                      <w:r>
                        <w:rPr>
                          <w:color w:val="004A48"/>
                          <w:sz w:val="16"/>
                          <w:szCs w:val="16"/>
                        </w:rPr>
                        <w:t xml:space="preserve">   </w:t>
                      </w:r>
                      <w:r w:rsidRPr="00BC252A">
                        <w:rPr>
                          <w:color w:val="004A48"/>
                          <w:sz w:val="16"/>
                          <w:szCs w:val="16"/>
                        </w:rPr>
                        <w:t xml:space="preserve">               </w:t>
                      </w:r>
                      <w:r>
                        <w:rPr>
                          <w:color w:val="004A48"/>
                          <w:sz w:val="16"/>
                          <w:szCs w:val="16"/>
                        </w:rPr>
                        <w:t>El Dorado County Transportation Commission                       Mendocino Council of Governments</w:t>
                      </w:r>
                      <w:r w:rsidRPr="00BC252A">
                        <w:rPr>
                          <w:color w:val="004A48"/>
                          <w:sz w:val="16"/>
                          <w:szCs w:val="16"/>
                        </w:rPr>
                        <w:br/>
                      </w:r>
                      <w:r>
                        <w:rPr>
                          <w:color w:val="004A48"/>
                          <w:sz w:val="16"/>
                          <w:szCs w:val="16"/>
                        </w:rPr>
                        <w:t xml:space="preserve">                  </w:t>
                      </w:r>
                      <w:r w:rsidRPr="00BC252A">
                        <w:rPr>
                          <w:color w:val="004A48"/>
                          <w:sz w:val="16"/>
                          <w:szCs w:val="16"/>
                        </w:rPr>
                        <w:t xml:space="preserve">209.751.2094    </w:t>
                      </w:r>
                      <w:r>
                        <w:rPr>
                          <w:color w:val="004A48"/>
                          <w:sz w:val="16"/>
                          <w:szCs w:val="16"/>
                        </w:rPr>
                        <w:t xml:space="preserve">                                                                 </w:t>
                      </w:r>
                      <w:proofErr w:type="gramStart"/>
                      <w:r>
                        <w:rPr>
                          <w:color w:val="004A48"/>
                          <w:sz w:val="16"/>
                          <w:szCs w:val="16"/>
                        </w:rPr>
                        <w:t xml:space="preserve">  </w:t>
                      </w:r>
                      <w:r w:rsidRPr="00BC252A">
                        <w:rPr>
                          <w:color w:val="004A48"/>
                          <w:sz w:val="16"/>
                          <w:szCs w:val="16"/>
                        </w:rPr>
                        <w:t xml:space="preserve"> </w:t>
                      </w:r>
                      <w:r>
                        <w:rPr>
                          <w:color w:val="004A48"/>
                          <w:sz w:val="16"/>
                          <w:szCs w:val="16"/>
                        </w:rPr>
                        <w:t>(</w:t>
                      </w:r>
                      <w:proofErr w:type="gramEnd"/>
                      <w:r>
                        <w:rPr>
                          <w:color w:val="004A48"/>
                          <w:sz w:val="16"/>
                          <w:szCs w:val="16"/>
                        </w:rPr>
                        <w:t xml:space="preserve">530) 642-5260                                                                     </w:t>
                      </w:r>
                      <w:r w:rsidRPr="0003695F">
                        <w:rPr>
                          <w:color w:val="004A48"/>
                          <w:sz w:val="16"/>
                          <w:szCs w:val="16"/>
                        </w:rPr>
                        <w:t>(707) 463-1859</w:t>
                      </w:r>
                    </w:p>
                  </w:txbxContent>
                </v:textbox>
                <w10:wrap anchorx="margin"/>
              </v:shape>
            </w:pict>
          </mc:Fallback>
        </mc:AlternateContent>
      </w:r>
      <w:r w:rsidRPr="000C5E4A">
        <w:rPr>
          <w:rFonts w:cstheme="minorHAnsi"/>
          <w:noProof/>
        </w:rPr>
        <w:drawing>
          <wp:inline distT="0" distB="0" distL="0" distR="0" wp14:anchorId="5D091336" wp14:editId="4032D875">
            <wp:extent cx="6182784" cy="810883"/>
            <wp:effectExtent l="0" t="0" r="0" b="889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019.jpg"/>
                    <pic:cNvPicPr/>
                  </pic:nvPicPr>
                  <pic:blipFill rotWithShape="1">
                    <a:blip r:embed="rId4">
                      <a:extLst>
                        <a:ext uri="{28A0092B-C50C-407E-A947-70E740481C1C}">
                          <a14:useLocalDpi xmlns:a14="http://schemas.microsoft.com/office/drawing/2010/main" val="0"/>
                        </a:ext>
                      </a:extLst>
                    </a:blip>
                    <a:srcRect b="32967"/>
                    <a:stretch/>
                  </pic:blipFill>
                  <pic:spPr bwMode="auto">
                    <a:xfrm>
                      <a:off x="0" y="0"/>
                      <a:ext cx="6204322" cy="813708"/>
                    </a:xfrm>
                    <a:prstGeom prst="rect">
                      <a:avLst/>
                    </a:prstGeom>
                    <a:ln>
                      <a:noFill/>
                    </a:ln>
                    <a:extLst>
                      <a:ext uri="{53640926-AAD7-44D8-BBD7-CCE9431645EC}">
                        <a14:shadowObscured xmlns:a14="http://schemas.microsoft.com/office/drawing/2010/main"/>
                      </a:ext>
                    </a:extLst>
                  </pic:spPr>
                </pic:pic>
              </a:graphicData>
            </a:graphic>
          </wp:inline>
        </w:drawing>
      </w:r>
    </w:p>
    <w:p w14:paraId="0A2DC2EA" w14:textId="77777777" w:rsidR="006A44B4" w:rsidRPr="000C5E4A" w:rsidRDefault="006A44B4" w:rsidP="006A44B4">
      <w:pPr>
        <w:jc w:val="center"/>
        <w:rPr>
          <w:rFonts w:cstheme="minorHAnsi"/>
        </w:rPr>
      </w:pPr>
    </w:p>
    <w:p w14:paraId="5C34880A"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30D292A6" w14:textId="77777777" w:rsidR="001E2E44" w:rsidRDefault="001E2E44" w:rsidP="006A44B4">
      <w:pPr>
        <w:autoSpaceDE w:val="0"/>
        <w:autoSpaceDN w:val="0"/>
        <w:adjustRightInd w:val="0"/>
        <w:snapToGrid w:val="0"/>
        <w:spacing w:after="0" w:line="240" w:lineRule="auto"/>
        <w:rPr>
          <w:rFonts w:ascii="Arial" w:eastAsia="Times New Roman" w:hAnsi="Arial" w:cs="Arial"/>
          <w:color w:val="000000"/>
          <w:lang w:val="x-none"/>
        </w:rPr>
      </w:pPr>
    </w:p>
    <w:p w14:paraId="6622BE77" w14:textId="6E72451E"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t>July 2</w:t>
      </w:r>
      <w:r w:rsidRPr="006A44B4">
        <w:rPr>
          <w:rFonts w:ascii="Arial" w:eastAsia="Times New Roman" w:hAnsi="Arial" w:cs="Arial"/>
          <w:color w:val="000000"/>
        </w:rPr>
        <w:t>3</w:t>
      </w:r>
      <w:r w:rsidRPr="006A44B4">
        <w:rPr>
          <w:rFonts w:ascii="Arial" w:eastAsia="Times New Roman" w:hAnsi="Arial" w:cs="Arial"/>
          <w:color w:val="000000"/>
          <w:lang w:val="x-none"/>
        </w:rPr>
        <w:t>, 2021</w:t>
      </w:r>
    </w:p>
    <w:p w14:paraId="6030507D"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5DF1BC6A"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t>California Energy Commission</w:t>
      </w:r>
    </w:p>
    <w:p w14:paraId="1DD60F8B"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t>1516 9thStreet, Sacramento, CA 95814</w:t>
      </w:r>
    </w:p>
    <w:p w14:paraId="381F0397" w14:textId="0C7719B1"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t>Sacramento, CA 95814</w:t>
      </w:r>
    </w:p>
    <w:p w14:paraId="50214782"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18D98542" w14:textId="27C12683"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t>Subject: Docket 20-TRAN-02</w:t>
      </w:r>
    </w:p>
    <w:p w14:paraId="37EF32BA" w14:textId="6E79D9D1"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53A6155F" w14:textId="6540E016"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rPr>
      </w:pPr>
      <w:r w:rsidRPr="006A44B4">
        <w:rPr>
          <w:rFonts w:ascii="Arial" w:eastAsia="Times New Roman" w:hAnsi="Arial" w:cs="Arial"/>
          <w:color w:val="000000"/>
        </w:rPr>
        <w:t xml:space="preserve">To Whom it May Concern: </w:t>
      </w:r>
    </w:p>
    <w:p w14:paraId="31C6CAF5"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rPr>
      </w:pPr>
    </w:p>
    <w:p w14:paraId="7ACAA918" w14:textId="77777777" w:rsidR="006A44B4" w:rsidRPr="006A44B4" w:rsidRDefault="006A44B4" w:rsidP="006A44B4">
      <w:pPr>
        <w:rPr>
          <w:rFonts w:ascii="Arial" w:hAnsi="Arial" w:cs="Arial"/>
        </w:rPr>
      </w:pPr>
      <w:r w:rsidRPr="006A44B4">
        <w:rPr>
          <w:rFonts w:ascii="Arial" w:hAnsi="Arial" w:cs="Arial"/>
        </w:rPr>
        <w:t xml:space="preserve">The Rural Counties Task Force (RCTF) represents California’s 26 rural Regional Transportation Planning Agencies and Local Transportation Commissions, as well as several Metropolitan Planning Organizations (MPO) with rural areas within their boundaries. The geographic expanse of RCTF member counties is vast across a diverse rural landscape. The RCTF establishes a partnership among rural counties allowing for a unified voice to address issues and opportunities around state and federal transportation planning, funding, and policy issues. The RCTF relies on strong partnerships with state and federal transportation agencies to ensure rural California is included in transportation funding and policy decision making.  </w:t>
      </w:r>
    </w:p>
    <w:p w14:paraId="255DB1C9" w14:textId="6BECEAA3"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Pr>
          <w:rFonts w:ascii="Arial" w:eastAsia="Times New Roman" w:hAnsi="Arial" w:cs="Arial"/>
          <w:color w:val="000000"/>
        </w:rPr>
        <w:t>RCTF members</w:t>
      </w:r>
      <w:r w:rsidRPr="006A44B4">
        <w:rPr>
          <w:rFonts w:ascii="Arial" w:eastAsia="Times New Roman" w:hAnsi="Arial" w:cs="Arial"/>
          <w:color w:val="000000"/>
          <w:lang w:val="x-none"/>
        </w:rPr>
        <w:t xml:space="preserve"> </w:t>
      </w:r>
      <w:r>
        <w:rPr>
          <w:rFonts w:ascii="Arial" w:eastAsia="Times New Roman" w:hAnsi="Arial" w:cs="Arial"/>
          <w:color w:val="000000"/>
        </w:rPr>
        <w:t xml:space="preserve">are in strong support of increased </w:t>
      </w:r>
      <w:r w:rsidRPr="006A44B4">
        <w:rPr>
          <w:rFonts w:ascii="Arial" w:eastAsia="Times New Roman" w:hAnsi="Arial" w:cs="Arial"/>
          <w:color w:val="000000"/>
          <w:lang w:val="x-none"/>
        </w:rPr>
        <w:t xml:space="preserve">deployment of Zero Emission Vehicle (ZEV) infrastructure </w:t>
      </w:r>
      <w:r>
        <w:rPr>
          <w:rFonts w:ascii="Arial" w:eastAsia="Times New Roman" w:hAnsi="Arial" w:cs="Arial"/>
          <w:color w:val="000000"/>
        </w:rPr>
        <w:t xml:space="preserve">throughout the rural areas of California. We are </w:t>
      </w:r>
      <w:r w:rsidR="001E2E44">
        <w:rPr>
          <w:rFonts w:ascii="Arial" w:eastAsia="Times New Roman" w:hAnsi="Arial" w:cs="Arial"/>
          <w:color w:val="000000"/>
        </w:rPr>
        <w:t>excited about</w:t>
      </w:r>
      <w:r>
        <w:rPr>
          <w:rFonts w:ascii="Arial" w:eastAsia="Times New Roman" w:hAnsi="Arial" w:cs="Arial"/>
          <w:color w:val="000000"/>
        </w:rPr>
        <w:t xml:space="preserve"> </w:t>
      </w:r>
      <w:r w:rsidRPr="006A44B4">
        <w:rPr>
          <w:rFonts w:ascii="Arial" w:eastAsia="Times New Roman" w:hAnsi="Arial" w:cs="Arial"/>
          <w:color w:val="000000"/>
          <w:lang w:val="x-none"/>
        </w:rPr>
        <w:t xml:space="preserve">opportunities for collaboration and coordination </w:t>
      </w:r>
      <w:r w:rsidR="001E2E44">
        <w:rPr>
          <w:rFonts w:ascii="Arial" w:eastAsia="Times New Roman" w:hAnsi="Arial" w:cs="Arial"/>
          <w:color w:val="000000"/>
        </w:rPr>
        <w:t>to</w:t>
      </w:r>
      <w:r w:rsidRPr="006A44B4">
        <w:rPr>
          <w:rFonts w:ascii="Arial" w:eastAsia="Times New Roman" w:hAnsi="Arial" w:cs="Arial"/>
          <w:color w:val="000000"/>
          <w:lang w:val="x-none"/>
        </w:rPr>
        <w:t xml:space="preserve"> </w:t>
      </w:r>
      <w:r w:rsidR="001E2E44">
        <w:rPr>
          <w:rFonts w:ascii="Arial" w:eastAsia="Times New Roman" w:hAnsi="Arial" w:cs="Arial"/>
          <w:color w:val="000000"/>
        </w:rPr>
        <w:t xml:space="preserve">establish appropriate fund sources that can support successful implementation of ZEV infrastructure in rural areas. </w:t>
      </w:r>
      <w:r w:rsidRPr="006A44B4">
        <w:rPr>
          <w:rFonts w:ascii="Arial" w:eastAsia="Times New Roman" w:hAnsi="Arial" w:cs="Arial"/>
          <w:color w:val="000000"/>
          <w:lang w:val="x-none"/>
        </w:rPr>
        <w:t xml:space="preserve">We appreciate the CEC’s focus this year on Equity for the Clean Transportation Program, with a focus on rural areas and drive times as a basis for grantmaking in 2021 through 2023. We understand the SB 1000 (enacted in 2018) report informs these new investments. However, we object to the use of </w:t>
      </w:r>
      <w:proofErr w:type="spellStart"/>
      <w:r w:rsidRPr="006A44B4">
        <w:rPr>
          <w:rFonts w:ascii="Arial" w:eastAsia="Times New Roman" w:hAnsi="Arial" w:cs="Arial"/>
          <w:color w:val="000000"/>
          <w:lang w:val="x-none"/>
        </w:rPr>
        <w:t>CalEnviroScreen</w:t>
      </w:r>
      <w:proofErr w:type="spellEnd"/>
      <w:r w:rsidRPr="006A44B4">
        <w:rPr>
          <w:rFonts w:ascii="Arial" w:eastAsia="Times New Roman" w:hAnsi="Arial" w:cs="Arial"/>
          <w:color w:val="000000"/>
          <w:lang w:val="x-none"/>
        </w:rPr>
        <w:t>, as it conflicts with the intent of SB 1000 to increase access to electric vehicle infrastructure in all California communities.</w:t>
      </w:r>
    </w:p>
    <w:p w14:paraId="2A57AEAA"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167A227F" w14:textId="6BE3751E" w:rsidR="006A44B4" w:rsidRPr="006A44B4" w:rsidRDefault="001E2E44" w:rsidP="006A44B4">
      <w:pPr>
        <w:autoSpaceDE w:val="0"/>
        <w:autoSpaceDN w:val="0"/>
        <w:adjustRightInd w:val="0"/>
        <w:snapToGrid w:val="0"/>
        <w:spacing w:after="0" w:line="240" w:lineRule="auto"/>
        <w:rPr>
          <w:rFonts w:ascii="Arial" w:eastAsia="Times New Roman" w:hAnsi="Arial" w:cs="Arial"/>
          <w:color w:val="000000"/>
          <w:lang w:val="x-none"/>
        </w:rPr>
      </w:pPr>
      <w:r>
        <w:rPr>
          <w:rFonts w:ascii="Arial" w:eastAsia="Times New Roman" w:hAnsi="Arial" w:cs="Arial"/>
          <w:color w:val="000000"/>
        </w:rPr>
        <w:t>RCTF members have</w:t>
      </w:r>
      <w:r w:rsidR="006A44B4" w:rsidRPr="006A44B4">
        <w:rPr>
          <w:rFonts w:ascii="Arial" w:eastAsia="Times New Roman" w:hAnsi="Arial" w:cs="Arial"/>
          <w:color w:val="000000"/>
          <w:lang w:val="x-none"/>
        </w:rPr>
        <w:t xml:space="preserve"> </w:t>
      </w:r>
      <w:r w:rsidR="00694A47">
        <w:rPr>
          <w:rFonts w:ascii="Arial" w:eastAsia="Times New Roman" w:hAnsi="Arial" w:cs="Arial"/>
          <w:color w:val="000000"/>
        </w:rPr>
        <w:t xml:space="preserve">had unfortunate </w:t>
      </w:r>
      <w:r w:rsidR="006A44B4" w:rsidRPr="006A44B4">
        <w:rPr>
          <w:rFonts w:ascii="Arial" w:eastAsia="Times New Roman" w:hAnsi="Arial" w:cs="Arial"/>
          <w:color w:val="000000"/>
          <w:lang w:val="x-none"/>
        </w:rPr>
        <w:t>experience</w:t>
      </w:r>
      <w:r w:rsidR="00694A47">
        <w:rPr>
          <w:rFonts w:ascii="Arial" w:eastAsia="Times New Roman" w:hAnsi="Arial" w:cs="Arial"/>
          <w:color w:val="000000"/>
        </w:rPr>
        <w:t>s</w:t>
      </w:r>
      <w:r w:rsidR="006A44B4" w:rsidRPr="006A44B4">
        <w:rPr>
          <w:rFonts w:ascii="Arial" w:eastAsia="Times New Roman" w:hAnsi="Arial" w:cs="Arial"/>
          <w:color w:val="000000"/>
          <w:lang w:val="x-none"/>
        </w:rPr>
        <w:t xml:space="preserve"> with other grant programs where projects in severely low-income communities do not qualify for funding because they do not meet the </w:t>
      </w:r>
      <w:proofErr w:type="spellStart"/>
      <w:r w:rsidR="006A44B4" w:rsidRPr="006A44B4">
        <w:rPr>
          <w:rFonts w:ascii="Arial" w:eastAsia="Times New Roman" w:hAnsi="Arial" w:cs="Arial"/>
          <w:color w:val="000000"/>
          <w:lang w:val="x-none"/>
        </w:rPr>
        <w:t>CalEnviroScreen</w:t>
      </w:r>
      <w:proofErr w:type="spellEnd"/>
      <w:r w:rsidR="006A44B4" w:rsidRPr="006A44B4">
        <w:rPr>
          <w:rFonts w:ascii="Arial" w:eastAsia="Times New Roman" w:hAnsi="Arial" w:cs="Arial"/>
          <w:color w:val="000000"/>
          <w:lang w:val="x-none"/>
        </w:rPr>
        <w:t xml:space="preserve"> definition of a disadvantaged community. It is critical that projects in low-income communities have equal opportunity for funding as those in “disadvantaged communities” as defined by </w:t>
      </w:r>
      <w:proofErr w:type="spellStart"/>
      <w:r w:rsidR="006A44B4" w:rsidRPr="006A44B4">
        <w:rPr>
          <w:rFonts w:ascii="Arial" w:eastAsia="Times New Roman" w:hAnsi="Arial" w:cs="Arial"/>
          <w:color w:val="000000"/>
          <w:lang w:val="x-none"/>
        </w:rPr>
        <w:t>CalEnviroScreen</w:t>
      </w:r>
      <w:proofErr w:type="spellEnd"/>
      <w:r w:rsidR="006A44B4" w:rsidRPr="006A44B4">
        <w:rPr>
          <w:rFonts w:ascii="Arial" w:eastAsia="Times New Roman" w:hAnsi="Arial" w:cs="Arial"/>
          <w:color w:val="000000"/>
          <w:lang w:val="x-none"/>
        </w:rPr>
        <w:t>. While low-income communities in many rural counties have the advantage of cleaner air, they also typically have significantly reduced access to education and employment, making the climb out of poverty even more challenging. Therefore, it is critical that CEC works with rural regions to establish a metric for identifying and evaluating disadvantaged, low-income, or impoverished.</w:t>
      </w:r>
    </w:p>
    <w:p w14:paraId="71626A46"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668A17A2" w14:textId="2E663BD3" w:rsid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r w:rsidRPr="006A44B4">
        <w:rPr>
          <w:rFonts w:ascii="Arial" w:eastAsia="Times New Roman" w:hAnsi="Arial" w:cs="Arial"/>
          <w:color w:val="000000"/>
          <w:lang w:val="x-none"/>
        </w:rPr>
        <w:lastRenderedPageBreak/>
        <w:t>Th</w:t>
      </w:r>
      <w:r w:rsidR="001E2E44">
        <w:rPr>
          <w:rFonts w:ascii="Arial" w:eastAsia="Times New Roman" w:hAnsi="Arial" w:cs="Arial"/>
          <w:color w:val="000000"/>
        </w:rPr>
        <w:t>e</w:t>
      </w:r>
      <w:r w:rsidRPr="006A44B4">
        <w:rPr>
          <w:rFonts w:ascii="Arial" w:eastAsia="Times New Roman" w:hAnsi="Arial" w:cs="Arial"/>
          <w:color w:val="000000"/>
          <w:lang w:val="x-none"/>
        </w:rPr>
        <w:t xml:space="preserve"> </w:t>
      </w:r>
      <w:r w:rsidR="001E2E44">
        <w:rPr>
          <w:rFonts w:ascii="Arial" w:eastAsia="Times New Roman" w:hAnsi="Arial" w:cs="Arial"/>
          <w:color w:val="000000"/>
        </w:rPr>
        <w:t>RCTF</w:t>
      </w:r>
      <w:r w:rsidRPr="006A44B4">
        <w:rPr>
          <w:rFonts w:ascii="Arial" w:eastAsia="Times New Roman" w:hAnsi="Arial" w:cs="Arial"/>
          <w:color w:val="000000"/>
          <w:lang w:val="x-none"/>
        </w:rPr>
        <w:t xml:space="preserve"> recommends the CEC use distance rather than drive time as the primary metric when using mapping to identify any infrastructure gaps. Further, the </w:t>
      </w:r>
      <w:r w:rsidR="001E2E44">
        <w:rPr>
          <w:rFonts w:ascii="Arial" w:eastAsia="Times New Roman" w:hAnsi="Arial" w:cs="Arial"/>
          <w:color w:val="000000"/>
        </w:rPr>
        <w:t>RCTF</w:t>
      </w:r>
      <w:r w:rsidRPr="006A44B4">
        <w:rPr>
          <w:rFonts w:ascii="Arial" w:eastAsia="Times New Roman" w:hAnsi="Arial" w:cs="Arial"/>
          <w:color w:val="000000"/>
          <w:lang w:val="x-none"/>
        </w:rPr>
        <w:t xml:space="preserve"> supports the utilization of AB 1550’s expanded definition of disadvantaged communities to better address equity within </w:t>
      </w:r>
      <w:r w:rsidR="001E2E44">
        <w:rPr>
          <w:rFonts w:ascii="Arial" w:eastAsia="Times New Roman" w:hAnsi="Arial" w:cs="Arial"/>
          <w:color w:val="000000"/>
        </w:rPr>
        <w:t>the rural areas of California</w:t>
      </w:r>
      <w:r w:rsidRPr="006A44B4">
        <w:rPr>
          <w:rFonts w:ascii="Arial" w:eastAsia="Times New Roman" w:hAnsi="Arial" w:cs="Arial"/>
          <w:color w:val="000000"/>
          <w:lang w:val="x-none"/>
        </w:rPr>
        <w:t>. (AB 1550, Gomez, Greenhouse gases: investment plan: disadvantaged communities; signed into law September 14, 2016.)</w:t>
      </w:r>
    </w:p>
    <w:p w14:paraId="355AFA36" w14:textId="77777777" w:rsidR="006A44B4" w:rsidRPr="006A44B4" w:rsidRDefault="006A44B4" w:rsidP="006A44B4">
      <w:pPr>
        <w:autoSpaceDE w:val="0"/>
        <w:autoSpaceDN w:val="0"/>
        <w:adjustRightInd w:val="0"/>
        <w:snapToGrid w:val="0"/>
        <w:spacing w:after="0" w:line="240" w:lineRule="auto"/>
        <w:rPr>
          <w:rFonts w:ascii="Arial" w:eastAsia="Times New Roman" w:hAnsi="Arial" w:cs="Arial"/>
          <w:color w:val="000000"/>
          <w:lang w:val="x-none"/>
        </w:rPr>
      </w:pPr>
    </w:p>
    <w:p w14:paraId="329FF8C0" w14:textId="00BFCA49" w:rsidR="006A44B4" w:rsidRPr="00694A47" w:rsidRDefault="006A44B4" w:rsidP="006A44B4">
      <w:pPr>
        <w:autoSpaceDE w:val="0"/>
        <w:autoSpaceDN w:val="0"/>
        <w:adjustRightInd w:val="0"/>
        <w:snapToGrid w:val="0"/>
        <w:spacing w:after="0" w:line="240" w:lineRule="auto"/>
        <w:rPr>
          <w:rFonts w:ascii="Arial" w:eastAsia="Times New Roman" w:hAnsi="Arial" w:cs="Arial"/>
          <w:color w:val="000000"/>
        </w:rPr>
      </w:pPr>
      <w:r w:rsidRPr="006A44B4">
        <w:rPr>
          <w:rFonts w:ascii="Arial" w:eastAsia="Times New Roman" w:hAnsi="Arial" w:cs="Arial"/>
          <w:color w:val="000000"/>
          <w:lang w:val="x-none"/>
        </w:rPr>
        <w:t xml:space="preserve">Please consider allowing AB 1550’s expanded definition of disadvantaged communities for eligibility in your upcoming solicitation. </w:t>
      </w:r>
      <w:r w:rsidR="00694A47">
        <w:rPr>
          <w:rFonts w:ascii="Arial" w:eastAsia="Times New Roman" w:hAnsi="Arial" w:cs="Arial"/>
          <w:color w:val="000000"/>
        </w:rPr>
        <w:t xml:space="preserve">The RCTF appreciates the opportunity to coordinate on this matter, we would be happy to meet with your staff to discuss our concerns further. </w:t>
      </w:r>
      <w:r w:rsidRPr="006A44B4">
        <w:rPr>
          <w:rFonts w:ascii="Arial" w:eastAsia="Times New Roman" w:hAnsi="Arial" w:cs="Arial"/>
          <w:color w:val="000000"/>
          <w:lang w:val="x-none"/>
        </w:rPr>
        <w:t>Thank</w:t>
      </w:r>
      <w:r w:rsidR="00694A47">
        <w:rPr>
          <w:rFonts w:ascii="Arial" w:eastAsia="Times New Roman" w:hAnsi="Arial" w:cs="Arial"/>
          <w:color w:val="000000"/>
        </w:rPr>
        <w:t xml:space="preserve"> you for</w:t>
      </w:r>
      <w:r w:rsidRPr="006A44B4">
        <w:rPr>
          <w:rFonts w:ascii="Arial" w:eastAsia="Times New Roman" w:hAnsi="Arial" w:cs="Arial"/>
          <w:color w:val="000000"/>
          <w:lang w:val="x-none"/>
        </w:rPr>
        <w:t xml:space="preserve"> your consideration.</w:t>
      </w:r>
    </w:p>
    <w:p w14:paraId="6F0A6A61" w14:textId="58BFF343" w:rsidR="00E372B0" w:rsidRDefault="00E372B0" w:rsidP="006A44B4">
      <w:pPr>
        <w:rPr>
          <w:rFonts w:ascii="Arial" w:hAnsi="Arial" w:cs="Arial"/>
        </w:rPr>
      </w:pPr>
    </w:p>
    <w:p w14:paraId="56E439A4" w14:textId="0C8427E4" w:rsidR="00694A47" w:rsidRDefault="00694A47" w:rsidP="006A44B4">
      <w:pPr>
        <w:rPr>
          <w:rFonts w:ascii="Arial" w:hAnsi="Arial" w:cs="Arial"/>
        </w:rPr>
      </w:pPr>
    </w:p>
    <w:p w14:paraId="44FB0B1A" w14:textId="04EBBD43" w:rsidR="00694A47" w:rsidRDefault="00694A47" w:rsidP="006A44B4">
      <w:pPr>
        <w:rPr>
          <w:rFonts w:ascii="Arial" w:hAnsi="Arial" w:cs="Arial"/>
        </w:rPr>
      </w:pPr>
      <w:r>
        <w:rPr>
          <w:rFonts w:ascii="Arial" w:hAnsi="Arial" w:cs="Arial"/>
        </w:rPr>
        <w:t xml:space="preserve">Sincerely, </w:t>
      </w:r>
      <w:r w:rsidR="00E47FA6">
        <w:rPr>
          <w:rFonts w:ascii="Arial" w:hAnsi="Arial" w:cs="Arial"/>
        </w:rPr>
        <w:br/>
      </w:r>
      <w:r w:rsidR="00E47FA6">
        <w:rPr>
          <w:noProof/>
        </w:rPr>
        <w:drawing>
          <wp:inline distT="0" distB="0" distL="0" distR="0" wp14:anchorId="2F513A5D" wp14:editId="62C862FE">
            <wp:extent cx="2075688" cy="66751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75688" cy="667512"/>
                    </a:xfrm>
                    <a:prstGeom prst="rect">
                      <a:avLst/>
                    </a:prstGeom>
                    <a:noFill/>
                    <a:ln>
                      <a:noFill/>
                    </a:ln>
                  </pic:spPr>
                </pic:pic>
              </a:graphicData>
            </a:graphic>
          </wp:inline>
        </w:drawing>
      </w:r>
    </w:p>
    <w:p w14:paraId="429D856D" w14:textId="77777777" w:rsidR="00694A47" w:rsidRDefault="00694A47" w:rsidP="00694A47">
      <w:pPr>
        <w:spacing w:after="0"/>
        <w:rPr>
          <w:rFonts w:ascii="Arial" w:hAnsi="Arial" w:cs="Arial"/>
        </w:rPr>
      </w:pPr>
      <w:r>
        <w:rPr>
          <w:rFonts w:ascii="Arial" w:hAnsi="Arial" w:cs="Arial"/>
        </w:rPr>
        <w:t>Woodrow Deloria, Executive Director</w:t>
      </w:r>
    </w:p>
    <w:p w14:paraId="30147C77" w14:textId="77777777" w:rsidR="00694A47" w:rsidRDefault="00694A47" w:rsidP="00694A47">
      <w:pPr>
        <w:spacing w:after="0"/>
        <w:rPr>
          <w:rFonts w:ascii="Arial" w:hAnsi="Arial" w:cs="Arial"/>
        </w:rPr>
      </w:pPr>
      <w:r>
        <w:rPr>
          <w:rFonts w:ascii="Arial" w:hAnsi="Arial" w:cs="Arial"/>
        </w:rPr>
        <w:t>El Dorado County Transportation Commission</w:t>
      </w:r>
    </w:p>
    <w:p w14:paraId="1CF7C137" w14:textId="77777777" w:rsidR="00694A47" w:rsidRDefault="00694A47" w:rsidP="00694A47">
      <w:pPr>
        <w:spacing w:after="0"/>
        <w:rPr>
          <w:rFonts w:ascii="Arial" w:hAnsi="Arial" w:cs="Arial"/>
        </w:rPr>
      </w:pPr>
      <w:r>
        <w:rPr>
          <w:rFonts w:ascii="Arial" w:hAnsi="Arial" w:cs="Arial"/>
        </w:rPr>
        <w:t>Rural Counties Task Force, Chair</w:t>
      </w:r>
    </w:p>
    <w:p w14:paraId="66D6E263" w14:textId="639768D4" w:rsidR="00694A47" w:rsidRPr="006A44B4" w:rsidRDefault="00694A47" w:rsidP="00694A47">
      <w:pPr>
        <w:rPr>
          <w:rFonts w:ascii="Arial" w:hAnsi="Arial" w:cs="Arial"/>
        </w:rPr>
      </w:pPr>
    </w:p>
    <w:sectPr w:rsidR="00694A47" w:rsidRPr="006A44B4" w:rsidSect="009D19F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B4"/>
    <w:rsid w:val="001E2E44"/>
    <w:rsid w:val="00694A47"/>
    <w:rsid w:val="006A44B4"/>
    <w:rsid w:val="00E372B0"/>
    <w:rsid w:val="00E4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243F"/>
  <w15:chartTrackingRefBased/>
  <w15:docId w15:val="{A3BF2869-3A78-4FB4-A202-E1951FEE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ED51A4-788C-4FD0-B790-1E59783465D6}"/>
</file>

<file path=customXml/itemProps2.xml><?xml version="1.0" encoding="utf-8"?>
<ds:datastoreItem xmlns:ds="http://schemas.openxmlformats.org/officeDocument/2006/customXml" ds:itemID="{9E957C3A-ADEF-4F67-B6F9-282319C2ECD3}"/>
</file>

<file path=customXml/itemProps3.xml><?xml version="1.0" encoding="utf-8"?>
<ds:datastoreItem xmlns:ds="http://schemas.openxmlformats.org/officeDocument/2006/customXml" ds:itemID="{F64A4E14-5715-44D9-BBF2-5A955DCFCBFD}"/>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Barton</dc:creator>
  <cp:keywords/>
  <dc:description/>
  <cp:lastModifiedBy>Dana Keffer</cp:lastModifiedBy>
  <cp:revision>2</cp:revision>
  <dcterms:created xsi:type="dcterms:W3CDTF">2021-07-23T17:42:00Z</dcterms:created>
  <dcterms:modified xsi:type="dcterms:W3CDTF">2021-07-23T17:42:00Z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