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A1E0" w14:textId="77777777" w:rsidR="00A61E38" w:rsidRPr="00C224F7" w:rsidRDefault="00A61E38" w:rsidP="0010059F">
      <w:pPr>
        <w:rPr>
          <w:rFonts w:ascii="Arial" w:hAnsi="Arial" w:cs="Arial"/>
          <w:noProof/>
          <w:sz w:val="22"/>
          <w:szCs w:val="22"/>
        </w:rPr>
      </w:pPr>
    </w:p>
    <w:p w14:paraId="0A97C8BF" w14:textId="77777777" w:rsidR="00A61E38" w:rsidRPr="00C224F7" w:rsidRDefault="00A61E38" w:rsidP="0010059F">
      <w:pPr>
        <w:rPr>
          <w:rFonts w:ascii="Arial" w:hAnsi="Arial" w:cs="Arial"/>
          <w:sz w:val="22"/>
          <w:szCs w:val="22"/>
        </w:rPr>
      </w:pPr>
      <w:r w:rsidRPr="00C224F7">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48B12796" wp14:editId="4F488D7E">
                <wp:simplePos x="0" y="0"/>
                <wp:positionH relativeFrom="column">
                  <wp:posOffset>-6824</wp:posOffset>
                </wp:positionH>
                <wp:positionV relativeFrom="paragraph">
                  <wp:posOffset>801370</wp:posOffset>
                </wp:positionV>
                <wp:extent cx="6182204" cy="508959"/>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204" cy="508959"/>
                        </a:xfrm>
                        <a:prstGeom prst="rect">
                          <a:avLst/>
                        </a:prstGeom>
                        <a:solidFill>
                          <a:srgbClr val="FFFFFF"/>
                        </a:solidFill>
                        <a:ln w="9525">
                          <a:solidFill>
                            <a:srgbClr val="004A48"/>
                          </a:solidFill>
                          <a:miter lim="800000"/>
                          <a:headEnd/>
                          <a:tailEnd/>
                        </a:ln>
                      </wps:spPr>
                      <wps:txbx>
                        <w:txbxContent>
                          <w:p w14:paraId="2635F025" w14:textId="0AB07766" w:rsidR="00A61E38" w:rsidRPr="00A61E38" w:rsidRDefault="00A61E38" w:rsidP="00A61E38">
                            <w:pPr>
                              <w:rPr>
                                <w:rFonts w:ascii="Arial" w:hAnsi="Arial" w:cs="Arial"/>
                                <w:color w:val="004A48"/>
                                <w:sz w:val="16"/>
                                <w:szCs w:val="16"/>
                              </w:rPr>
                            </w:pPr>
                            <w:r>
                              <w:rPr>
                                <w:rFonts w:ascii="Arial" w:hAnsi="Arial" w:cs="Arial"/>
                                <w:b/>
                                <w:bCs/>
                                <w:color w:val="004A48"/>
                                <w:sz w:val="16"/>
                                <w:szCs w:val="16"/>
                              </w:rPr>
                              <w:t xml:space="preserve">        </w:t>
                            </w:r>
                            <w:r w:rsidRPr="00A61E38">
                              <w:rPr>
                                <w:rFonts w:ascii="Arial" w:hAnsi="Arial" w:cs="Arial"/>
                                <w:b/>
                                <w:bCs/>
                                <w:color w:val="004A48"/>
                                <w:sz w:val="16"/>
                                <w:szCs w:val="16"/>
                              </w:rPr>
                              <w:t xml:space="preserve">Amber Collins, Vice Chair                 </w:t>
                            </w:r>
                            <w:r>
                              <w:rPr>
                                <w:rFonts w:ascii="Arial" w:hAnsi="Arial" w:cs="Arial"/>
                                <w:b/>
                                <w:bCs/>
                                <w:color w:val="004A48"/>
                                <w:sz w:val="16"/>
                                <w:szCs w:val="16"/>
                              </w:rPr>
                              <w:t xml:space="preserve">             </w:t>
                            </w:r>
                            <w:r w:rsidRPr="00A61E38">
                              <w:rPr>
                                <w:rFonts w:ascii="Arial" w:hAnsi="Arial" w:cs="Arial"/>
                                <w:b/>
                                <w:bCs/>
                                <w:color w:val="004A48"/>
                                <w:sz w:val="16"/>
                                <w:szCs w:val="16"/>
                              </w:rPr>
                              <w:t xml:space="preserve">Woodrow Deloria, Chair                 </w:t>
                            </w:r>
                            <w:r>
                              <w:rPr>
                                <w:rFonts w:ascii="Arial" w:hAnsi="Arial" w:cs="Arial"/>
                                <w:b/>
                                <w:bCs/>
                                <w:color w:val="004A48"/>
                                <w:sz w:val="16"/>
                                <w:szCs w:val="16"/>
                              </w:rPr>
                              <w:t xml:space="preserve">                </w:t>
                            </w:r>
                            <w:r w:rsidRPr="00A61E38">
                              <w:rPr>
                                <w:rFonts w:ascii="Arial" w:hAnsi="Arial" w:cs="Arial"/>
                                <w:b/>
                                <w:bCs/>
                                <w:color w:val="004A48"/>
                                <w:sz w:val="16"/>
                                <w:szCs w:val="16"/>
                              </w:rPr>
                              <w:t>Nephele Barrett, Secretary</w:t>
                            </w:r>
                            <w:r w:rsidRPr="00A61E38">
                              <w:rPr>
                                <w:rFonts w:ascii="Arial" w:hAnsi="Arial" w:cs="Arial"/>
                                <w:b/>
                                <w:bCs/>
                                <w:color w:val="004A48"/>
                                <w:sz w:val="16"/>
                                <w:szCs w:val="16"/>
                              </w:rPr>
                              <w:br/>
                            </w:r>
                            <w:r w:rsidRPr="00A61E38">
                              <w:rPr>
                                <w:rFonts w:ascii="Arial" w:hAnsi="Arial" w:cs="Arial"/>
                                <w:color w:val="004A48"/>
                                <w:sz w:val="16"/>
                                <w:szCs w:val="16"/>
                              </w:rPr>
                              <w:t xml:space="preserve">   Calaveras Council of Governments           El Dorado County Transportation Commission        Mendocino Council of Governments</w:t>
                            </w:r>
                            <w:r w:rsidRPr="00A61E38">
                              <w:rPr>
                                <w:rFonts w:ascii="Arial" w:hAnsi="Arial" w:cs="Arial"/>
                                <w:color w:val="004A48"/>
                                <w:sz w:val="16"/>
                                <w:szCs w:val="16"/>
                              </w:rPr>
                              <w:br/>
                              <w:t xml:space="preserve">                  209.751.2094                                                    530.642.5260                                                   707.463.1859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12796" id="_x0000_t202" coordsize="21600,21600" o:spt="202" path="m,l,21600r21600,l21600,xe">
                <v:stroke joinstyle="miter"/>
                <v:path gradientshapeok="t" o:connecttype="rect"/>
              </v:shapetype>
              <v:shape id="Text Box 2" o:spid="_x0000_s1026" type="#_x0000_t202" style="position:absolute;margin-left:-.55pt;margin-top:63.1pt;width:486.8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" strokecolor="#004a48">
                <v:textbox>
                  <w:txbxContent>
                    <w:p w14:paraId="2635F025" w14:textId="0AB07766" w:rsidR="00A61E38" w:rsidRPr="00A61E38" w:rsidRDefault="00A61E38" w:rsidP="00A61E38">
                      <w:pPr>
                        <w:rPr>
                          <w:rFonts w:ascii="Arial" w:hAnsi="Arial" w:cs="Arial"/>
                          <w:color w:val="004A48"/>
                          <w:sz w:val="16"/>
                          <w:szCs w:val="16"/>
                        </w:rPr>
                      </w:pPr>
                      <w:r>
                        <w:rPr>
                          <w:rFonts w:ascii="Arial" w:hAnsi="Arial" w:cs="Arial"/>
                          <w:b/>
                          <w:bCs/>
                          <w:color w:val="004A48"/>
                          <w:sz w:val="16"/>
                          <w:szCs w:val="16"/>
                        </w:rPr>
                        <w:t xml:space="preserve">        </w:t>
                      </w:r>
                      <w:r w:rsidRPr="00A61E38">
                        <w:rPr>
                          <w:rFonts w:ascii="Arial" w:hAnsi="Arial" w:cs="Arial"/>
                          <w:b/>
                          <w:bCs/>
                          <w:color w:val="004A48"/>
                          <w:sz w:val="16"/>
                          <w:szCs w:val="16"/>
                        </w:rPr>
                        <w:t xml:space="preserve">Amber Collins, Vice Chair                 </w:t>
                      </w:r>
                      <w:r>
                        <w:rPr>
                          <w:rFonts w:ascii="Arial" w:hAnsi="Arial" w:cs="Arial"/>
                          <w:b/>
                          <w:bCs/>
                          <w:color w:val="004A48"/>
                          <w:sz w:val="16"/>
                          <w:szCs w:val="16"/>
                        </w:rPr>
                        <w:t xml:space="preserve">             </w:t>
                      </w:r>
                      <w:r w:rsidRPr="00A61E38">
                        <w:rPr>
                          <w:rFonts w:ascii="Arial" w:hAnsi="Arial" w:cs="Arial"/>
                          <w:b/>
                          <w:bCs/>
                          <w:color w:val="004A48"/>
                          <w:sz w:val="16"/>
                          <w:szCs w:val="16"/>
                        </w:rPr>
                        <w:t xml:space="preserve">Woodrow Deloria, Chair                 </w:t>
                      </w:r>
                      <w:r>
                        <w:rPr>
                          <w:rFonts w:ascii="Arial" w:hAnsi="Arial" w:cs="Arial"/>
                          <w:b/>
                          <w:bCs/>
                          <w:color w:val="004A48"/>
                          <w:sz w:val="16"/>
                          <w:szCs w:val="16"/>
                        </w:rPr>
                        <w:t xml:space="preserve">                </w:t>
                      </w:r>
                      <w:r w:rsidRPr="00A61E38">
                        <w:rPr>
                          <w:rFonts w:ascii="Arial" w:hAnsi="Arial" w:cs="Arial"/>
                          <w:b/>
                          <w:bCs/>
                          <w:color w:val="004A48"/>
                          <w:sz w:val="16"/>
                          <w:szCs w:val="16"/>
                        </w:rPr>
                        <w:t>Nephele Barrett, Secretary</w:t>
                      </w:r>
                      <w:r w:rsidRPr="00A61E38">
                        <w:rPr>
                          <w:rFonts w:ascii="Arial" w:hAnsi="Arial" w:cs="Arial"/>
                          <w:b/>
                          <w:bCs/>
                          <w:color w:val="004A48"/>
                          <w:sz w:val="16"/>
                          <w:szCs w:val="16"/>
                        </w:rPr>
                        <w:br/>
                      </w:r>
                      <w:r w:rsidRPr="00A61E38">
                        <w:rPr>
                          <w:rFonts w:ascii="Arial" w:hAnsi="Arial" w:cs="Arial"/>
                          <w:color w:val="004A48"/>
                          <w:sz w:val="16"/>
                          <w:szCs w:val="16"/>
                        </w:rPr>
                        <w:t xml:space="preserve">   Calaveras Council of Governments           El Dorado County Transportation Commission        Mendocino Council of Governments</w:t>
                      </w:r>
                      <w:r w:rsidRPr="00A61E38">
                        <w:rPr>
                          <w:rFonts w:ascii="Arial" w:hAnsi="Arial" w:cs="Arial"/>
                          <w:color w:val="004A48"/>
                          <w:sz w:val="16"/>
                          <w:szCs w:val="16"/>
                        </w:rPr>
                        <w:br/>
                        <w:t xml:space="preserve">                  209.751.2094                                                    530.642.5260                                                   707.463.1859</w:t>
                      </w:r>
                    </w:p>
                  </w:txbxContent>
                </v:textbox>
              </v:shape>
            </w:pict>
          </mc:Fallback>
        </mc:AlternateContent>
      </w:r>
      <w:r w:rsidRPr="00C224F7">
        <w:rPr>
          <w:rFonts w:ascii="Arial" w:hAnsi="Arial" w:cs="Arial"/>
          <w:noProof/>
          <w:sz w:val="22"/>
          <w:szCs w:val="22"/>
        </w:rPr>
        <w:drawing>
          <wp:inline distT="0" distB="0" distL="0" distR="0" wp14:anchorId="2D68F91C" wp14:editId="711BD7FF">
            <wp:extent cx="6182784" cy="810883"/>
            <wp:effectExtent l="0" t="0" r="0" b="5080"/>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7">
                      <a:extLst>
                        <a:ext uri="{28A0092B-C50C-407E-A947-70E740481C1C}">
                          <a14:useLocalDpi xmlns:a14="http://schemas.microsoft.com/office/drawing/2010/main" val="0"/>
                        </a:ext>
                      </a:extLst>
                    </a:blip>
                    <a:srcRect b="32967"/>
                    <a:stretch/>
                  </pic:blipFill>
                  <pic:spPr bwMode="auto">
                    <a:xfrm>
                      <a:off x="0" y="0"/>
                      <a:ext cx="6182784" cy="810883"/>
                    </a:xfrm>
                    <a:prstGeom prst="rect">
                      <a:avLst/>
                    </a:prstGeom>
                    <a:ln>
                      <a:noFill/>
                    </a:ln>
                    <a:extLst>
                      <a:ext uri="{53640926-AAD7-44D8-BBD7-CCE9431645EC}">
                        <a14:shadowObscured xmlns:a14="http://schemas.microsoft.com/office/drawing/2010/main"/>
                      </a:ext>
                    </a:extLst>
                  </pic:spPr>
                </pic:pic>
              </a:graphicData>
            </a:graphic>
          </wp:inline>
        </w:drawing>
      </w:r>
    </w:p>
    <w:p w14:paraId="7BFD0DF7" w14:textId="77777777" w:rsidR="00A61E38" w:rsidRPr="00C224F7" w:rsidRDefault="00A61E38" w:rsidP="0010059F">
      <w:pPr>
        <w:rPr>
          <w:rFonts w:ascii="Arial" w:hAnsi="Arial" w:cs="Arial"/>
          <w:sz w:val="22"/>
          <w:szCs w:val="22"/>
        </w:rPr>
      </w:pPr>
    </w:p>
    <w:p w14:paraId="360DC0FB" w14:textId="77777777" w:rsidR="00A61E38" w:rsidRPr="00C224F7" w:rsidRDefault="00A61E38" w:rsidP="0010059F">
      <w:pPr>
        <w:rPr>
          <w:rFonts w:ascii="Arial" w:hAnsi="Arial" w:cs="Arial"/>
          <w:sz w:val="22"/>
          <w:szCs w:val="22"/>
        </w:rPr>
      </w:pPr>
    </w:p>
    <w:p w14:paraId="0983EED3" w14:textId="0E3CB39F" w:rsidR="007D65B3" w:rsidRPr="00C224F7" w:rsidRDefault="007D65B3" w:rsidP="0010059F">
      <w:pPr>
        <w:pStyle w:val="Default"/>
        <w:jc w:val="center"/>
        <w:rPr>
          <w:rFonts w:cs="Arial"/>
          <w:b/>
          <w:bCs/>
          <w:sz w:val="22"/>
          <w:szCs w:val="22"/>
        </w:rPr>
      </w:pPr>
    </w:p>
    <w:p w14:paraId="714EC536" w14:textId="77777777" w:rsidR="00403E8F" w:rsidRDefault="00403E8F" w:rsidP="0010059F">
      <w:pPr>
        <w:pStyle w:val="NoSpacing"/>
        <w:rPr>
          <w:rFonts w:ascii="Arial" w:hAnsi="Arial" w:cs="Arial"/>
        </w:rPr>
      </w:pPr>
    </w:p>
    <w:p w14:paraId="2D7DA6F8" w14:textId="77777777" w:rsidR="00403E8F" w:rsidRDefault="00403E8F" w:rsidP="0010059F">
      <w:pPr>
        <w:pStyle w:val="NoSpacing"/>
        <w:rPr>
          <w:rFonts w:ascii="Arial" w:hAnsi="Arial" w:cs="Arial"/>
        </w:rPr>
      </w:pPr>
    </w:p>
    <w:p w14:paraId="21C468CA" w14:textId="487B4C8A" w:rsidR="00267F79" w:rsidRPr="00C224F7" w:rsidRDefault="00267F79" w:rsidP="0010059F">
      <w:pPr>
        <w:pStyle w:val="NoSpacing"/>
        <w:rPr>
          <w:rFonts w:ascii="Arial" w:hAnsi="Arial" w:cs="Arial"/>
        </w:rPr>
      </w:pPr>
      <w:r w:rsidRPr="00C224F7">
        <w:rPr>
          <w:rFonts w:ascii="Arial" w:hAnsi="Arial" w:cs="Arial"/>
        </w:rPr>
        <w:t>September 10, 2021</w:t>
      </w:r>
    </w:p>
    <w:p w14:paraId="06F4C06A" w14:textId="5546C1CA" w:rsidR="00267F79" w:rsidRDefault="00267F79" w:rsidP="0010059F">
      <w:pPr>
        <w:pStyle w:val="NoSpacing"/>
        <w:rPr>
          <w:rFonts w:ascii="Arial" w:hAnsi="Arial" w:cs="Arial"/>
        </w:rPr>
      </w:pPr>
    </w:p>
    <w:p w14:paraId="16853315" w14:textId="12A88C67" w:rsidR="00403E8F" w:rsidRDefault="00403E8F" w:rsidP="0010059F">
      <w:pPr>
        <w:pStyle w:val="NoSpacing"/>
        <w:rPr>
          <w:rFonts w:ascii="Arial" w:hAnsi="Arial" w:cs="Arial"/>
        </w:rPr>
      </w:pPr>
    </w:p>
    <w:p w14:paraId="671EFEAB" w14:textId="77777777" w:rsidR="00403E8F" w:rsidRPr="00C224F7" w:rsidRDefault="00403E8F" w:rsidP="0010059F">
      <w:pPr>
        <w:pStyle w:val="NoSpacing"/>
        <w:rPr>
          <w:rFonts w:ascii="Arial" w:hAnsi="Arial" w:cs="Arial"/>
        </w:rPr>
      </w:pPr>
    </w:p>
    <w:p w14:paraId="0ABB0C82" w14:textId="77777777" w:rsidR="00BB0E6B" w:rsidRPr="00C224F7" w:rsidRDefault="00BB0E6B" w:rsidP="0010059F">
      <w:pPr>
        <w:pStyle w:val="NoSpacing"/>
        <w:rPr>
          <w:rFonts w:ascii="Arial" w:hAnsi="Arial" w:cs="Arial"/>
        </w:rPr>
      </w:pPr>
      <w:r w:rsidRPr="00C224F7">
        <w:rPr>
          <w:rFonts w:ascii="Arial" w:hAnsi="Arial" w:cs="Arial"/>
        </w:rPr>
        <w:t>Scott Sauer</w:t>
      </w:r>
    </w:p>
    <w:p w14:paraId="44DB9A36" w14:textId="77777777" w:rsidR="00BB0E6B" w:rsidRPr="00C224F7" w:rsidRDefault="00BB0E6B" w:rsidP="0010059F">
      <w:pPr>
        <w:pStyle w:val="NoSpacing"/>
        <w:rPr>
          <w:rFonts w:ascii="Arial" w:hAnsi="Arial" w:cs="Arial"/>
        </w:rPr>
      </w:pPr>
      <w:r w:rsidRPr="00C224F7">
        <w:rPr>
          <w:rFonts w:ascii="Arial" w:hAnsi="Arial" w:cs="Arial"/>
        </w:rPr>
        <w:t>California Department of Transportation</w:t>
      </w:r>
    </w:p>
    <w:p w14:paraId="37B7F24B" w14:textId="77777777" w:rsidR="00BB0E6B" w:rsidRPr="00C224F7" w:rsidRDefault="00BB0E6B" w:rsidP="0010059F">
      <w:pPr>
        <w:pStyle w:val="NoSpacing"/>
        <w:rPr>
          <w:rFonts w:ascii="Arial" w:hAnsi="Arial" w:cs="Arial"/>
        </w:rPr>
      </w:pPr>
      <w:r w:rsidRPr="00C224F7">
        <w:rPr>
          <w:rFonts w:ascii="Arial" w:hAnsi="Arial" w:cs="Arial"/>
        </w:rPr>
        <w:t>Division of Transportation Planning</w:t>
      </w:r>
    </w:p>
    <w:p w14:paraId="26D6F792" w14:textId="77777777" w:rsidR="00BB0E6B" w:rsidRPr="00C224F7" w:rsidRDefault="00BB0E6B" w:rsidP="0010059F">
      <w:pPr>
        <w:pStyle w:val="NoSpacing"/>
        <w:rPr>
          <w:rFonts w:ascii="Arial" w:hAnsi="Arial" w:cs="Arial"/>
        </w:rPr>
      </w:pPr>
      <w:r w:rsidRPr="00C224F7">
        <w:rPr>
          <w:rFonts w:ascii="Arial" w:hAnsi="Arial" w:cs="Arial"/>
        </w:rPr>
        <w:t>Office of Multi-Modal System Planning</w:t>
      </w:r>
      <w:r w:rsidRPr="00C224F7">
        <w:rPr>
          <w:rFonts w:ascii="Arial" w:hAnsi="Arial" w:cs="Arial"/>
        </w:rPr>
        <w:br/>
        <w:t>P.O. Box 942873</w:t>
      </w:r>
      <w:r w:rsidRPr="00C224F7">
        <w:rPr>
          <w:rFonts w:ascii="Arial" w:hAnsi="Arial" w:cs="Arial"/>
        </w:rPr>
        <w:br/>
        <w:t>Sacramento, CA 94273-0001</w:t>
      </w:r>
    </w:p>
    <w:p w14:paraId="5FDF73F7" w14:textId="59C52D77" w:rsidR="00403E8F" w:rsidRDefault="00403E8F" w:rsidP="0010059F">
      <w:pPr>
        <w:pStyle w:val="NoSpacing"/>
        <w:rPr>
          <w:rFonts w:ascii="Arial" w:hAnsi="Arial" w:cs="Arial"/>
        </w:rPr>
      </w:pPr>
    </w:p>
    <w:p w14:paraId="7C6E048B" w14:textId="77777777" w:rsidR="00403E8F" w:rsidRPr="00C224F7" w:rsidRDefault="00403E8F" w:rsidP="0010059F">
      <w:pPr>
        <w:pStyle w:val="NoSpacing"/>
        <w:rPr>
          <w:rFonts w:ascii="Arial" w:hAnsi="Arial" w:cs="Arial"/>
        </w:rPr>
      </w:pPr>
    </w:p>
    <w:p w14:paraId="18ED1D09" w14:textId="77608417" w:rsidR="00BB0E6B" w:rsidRPr="00C224F7" w:rsidRDefault="00BB0E6B" w:rsidP="00D869D3">
      <w:pPr>
        <w:rPr>
          <w:rFonts w:ascii="Arial" w:hAnsi="Arial" w:cs="Arial"/>
          <w:sz w:val="22"/>
          <w:szCs w:val="22"/>
        </w:rPr>
      </w:pPr>
      <w:r w:rsidRPr="00C224F7">
        <w:rPr>
          <w:rFonts w:ascii="Arial" w:hAnsi="Arial" w:cs="Arial"/>
          <w:sz w:val="22"/>
          <w:szCs w:val="22"/>
        </w:rPr>
        <w:t xml:space="preserve">Re: </w:t>
      </w:r>
      <w:r w:rsidR="00D869D3">
        <w:rPr>
          <w:rFonts w:ascii="Arial" w:hAnsi="Arial" w:cs="Arial"/>
          <w:sz w:val="22"/>
          <w:szCs w:val="22"/>
        </w:rPr>
        <w:t xml:space="preserve"> </w:t>
      </w:r>
      <w:r w:rsidR="00267F79" w:rsidRPr="00C224F7">
        <w:rPr>
          <w:rFonts w:ascii="Arial" w:hAnsi="Arial" w:cs="Arial"/>
          <w:sz w:val="22"/>
          <w:szCs w:val="22"/>
        </w:rPr>
        <w:t xml:space="preserve">Rural Counties Task Force Comments on the </w:t>
      </w:r>
      <w:r w:rsidRPr="00C224F7">
        <w:rPr>
          <w:rFonts w:ascii="Arial" w:hAnsi="Arial" w:cs="Arial"/>
          <w:sz w:val="22"/>
          <w:szCs w:val="22"/>
        </w:rPr>
        <w:t xml:space="preserve">Draft Interregional Transportation Strategic </w:t>
      </w:r>
      <w:r w:rsidR="00D869D3">
        <w:rPr>
          <w:rFonts w:ascii="Arial" w:hAnsi="Arial" w:cs="Arial"/>
          <w:sz w:val="22"/>
          <w:szCs w:val="22"/>
        </w:rPr>
        <w:br/>
        <w:t xml:space="preserve">       </w:t>
      </w:r>
      <w:r w:rsidRPr="00C224F7">
        <w:rPr>
          <w:rFonts w:ascii="Arial" w:hAnsi="Arial" w:cs="Arial"/>
          <w:sz w:val="22"/>
          <w:szCs w:val="22"/>
        </w:rPr>
        <w:t>Plan</w:t>
      </w:r>
      <w:r w:rsidR="00D869D3">
        <w:rPr>
          <w:rFonts w:ascii="Arial" w:hAnsi="Arial" w:cs="Arial"/>
          <w:sz w:val="22"/>
          <w:szCs w:val="22"/>
        </w:rPr>
        <w:t xml:space="preserve"> </w:t>
      </w:r>
      <w:r w:rsidRPr="00C224F7">
        <w:rPr>
          <w:rFonts w:ascii="Arial" w:hAnsi="Arial" w:cs="Arial"/>
          <w:sz w:val="22"/>
          <w:szCs w:val="22"/>
        </w:rPr>
        <w:t xml:space="preserve">(ITSP) </w:t>
      </w:r>
    </w:p>
    <w:p w14:paraId="3E0D3D1F" w14:textId="2B1CC941" w:rsidR="00267F79" w:rsidRDefault="00267F79" w:rsidP="0010059F">
      <w:pPr>
        <w:jc w:val="both"/>
        <w:rPr>
          <w:rFonts w:ascii="Arial" w:hAnsi="Arial" w:cs="Arial"/>
          <w:sz w:val="22"/>
          <w:szCs w:val="22"/>
        </w:rPr>
      </w:pPr>
    </w:p>
    <w:p w14:paraId="0A618202" w14:textId="77777777" w:rsidR="00403E8F" w:rsidRPr="00C224F7" w:rsidRDefault="00403E8F" w:rsidP="0010059F">
      <w:pPr>
        <w:jc w:val="both"/>
        <w:rPr>
          <w:rFonts w:ascii="Arial" w:hAnsi="Arial" w:cs="Arial"/>
          <w:sz w:val="22"/>
          <w:szCs w:val="22"/>
        </w:rPr>
      </w:pPr>
    </w:p>
    <w:p w14:paraId="5B7FA747" w14:textId="77777777" w:rsidR="00BB0E6B" w:rsidRPr="00C224F7" w:rsidRDefault="00BB0E6B" w:rsidP="0010059F">
      <w:pPr>
        <w:jc w:val="both"/>
        <w:rPr>
          <w:rFonts w:ascii="Arial" w:hAnsi="Arial" w:cs="Arial"/>
          <w:sz w:val="22"/>
          <w:szCs w:val="22"/>
        </w:rPr>
      </w:pPr>
      <w:r w:rsidRPr="00C224F7">
        <w:rPr>
          <w:rFonts w:ascii="Arial" w:hAnsi="Arial" w:cs="Arial"/>
          <w:sz w:val="22"/>
          <w:szCs w:val="22"/>
        </w:rPr>
        <w:t>Dear Mr. Sauer:</w:t>
      </w:r>
    </w:p>
    <w:p w14:paraId="4E2ADC39" w14:textId="77777777" w:rsidR="005330B1" w:rsidRPr="00C224F7" w:rsidRDefault="005330B1" w:rsidP="0010059F">
      <w:pPr>
        <w:jc w:val="both"/>
        <w:rPr>
          <w:rFonts w:ascii="Arial" w:hAnsi="Arial" w:cs="Arial"/>
          <w:sz w:val="22"/>
          <w:szCs w:val="22"/>
        </w:rPr>
      </w:pPr>
    </w:p>
    <w:p w14:paraId="5390F212" w14:textId="6BB4454A" w:rsidR="00F56B9E" w:rsidRPr="00C224F7" w:rsidRDefault="00350B18" w:rsidP="0010059F">
      <w:pPr>
        <w:jc w:val="both"/>
        <w:rPr>
          <w:rFonts w:ascii="Arial" w:hAnsi="Arial" w:cs="Arial"/>
          <w:sz w:val="22"/>
          <w:szCs w:val="22"/>
        </w:rPr>
      </w:pPr>
      <w:r w:rsidRPr="00C224F7">
        <w:rPr>
          <w:rFonts w:ascii="Arial" w:hAnsi="Arial" w:cs="Arial"/>
          <w:sz w:val="22"/>
          <w:szCs w:val="22"/>
        </w:rPr>
        <w:t xml:space="preserve">On behalf of the </w:t>
      </w:r>
      <w:r w:rsidR="005330B1" w:rsidRPr="00C224F7">
        <w:rPr>
          <w:rFonts w:ascii="Arial" w:hAnsi="Arial" w:cs="Arial"/>
          <w:sz w:val="22"/>
          <w:szCs w:val="22"/>
        </w:rPr>
        <w:t>R</w:t>
      </w:r>
      <w:r w:rsidRPr="00C224F7">
        <w:rPr>
          <w:rFonts w:ascii="Arial" w:hAnsi="Arial" w:cs="Arial"/>
          <w:sz w:val="22"/>
          <w:szCs w:val="22"/>
        </w:rPr>
        <w:t xml:space="preserve">ural Counties Task </w:t>
      </w:r>
      <w:r w:rsidR="008C6C53" w:rsidRPr="00C224F7">
        <w:rPr>
          <w:rFonts w:ascii="Arial" w:hAnsi="Arial" w:cs="Arial"/>
          <w:sz w:val="22"/>
          <w:szCs w:val="22"/>
        </w:rPr>
        <w:t xml:space="preserve">Force </w:t>
      </w:r>
      <w:r w:rsidRPr="00C224F7">
        <w:rPr>
          <w:rFonts w:ascii="Arial" w:hAnsi="Arial" w:cs="Arial"/>
          <w:sz w:val="22"/>
          <w:szCs w:val="22"/>
        </w:rPr>
        <w:t xml:space="preserve">(RCTF), I’d like to thank the California Department of Transportation (Caltrans) and its staff for efforts in preparing the Draft ITSP and providing opportunities for engagement and input. </w:t>
      </w:r>
      <w:r w:rsidR="00F56B9E" w:rsidRPr="00C224F7">
        <w:rPr>
          <w:rFonts w:ascii="Arial" w:hAnsi="Arial" w:cs="Arial"/>
          <w:sz w:val="22"/>
          <w:szCs w:val="22"/>
        </w:rPr>
        <w:t xml:space="preserve">Scott Sauer’s willingness to be accessible to the rural counties throughout this process is particularly appreciated.  </w:t>
      </w:r>
    </w:p>
    <w:p w14:paraId="6CD5EF56" w14:textId="77777777" w:rsidR="00F56B9E" w:rsidRPr="00C224F7" w:rsidRDefault="00F56B9E" w:rsidP="0010059F">
      <w:pPr>
        <w:jc w:val="both"/>
        <w:rPr>
          <w:rFonts w:ascii="Arial" w:hAnsi="Arial" w:cs="Arial"/>
          <w:sz w:val="22"/>
          <w:szCs w:val="22"/>
        </w:rPr>
      </w:pPr>
    </w:p>
    <w:p w14:paraId="0CA8707E" w14:textId="4C442BA3" w:rsidR="000F43FE" w:rsidRPr="00C224F7" w:rsidRDefault="00350B18" w:rsidP="0010059F">
      <w:pPr>
        <w:jc w:val="both"/>
        <w:rPr>
          <w:rFonts w:ascii="Arial" w:hAnsi="Arial" w:cs="Arial"/>
          <w:sz w:val="22"/>
          <w:szCs w:val="22"/>
        </w:rPr>
      </w:pPr>
      <w:r w:rsidRPr="00C224F7">
        <w:rPr>
          <w:rFonts w:ascii="Arial" w:hAnsi="Arial" w:cs="Arial"/>
          <w:sz w:val="22"/>
          <w:szCs w:val="22"/>
        </w:rPr>
        <w:t xml:space="preserve">The RCTF </w:t>
      </w:r>
      <w:r w:rsidR="005330B1" w:rsidRPr="00C224F7">
        <w:rPr>
          <w:rFonts w:ascii="Arial" w:hAnsi="Arial" w:cs="Arial"/>
          <w:sz w:val="22"/>
          <w:szCs w:val="22"/>
        </w:rPr>
        <w:t>represents California’s 26 rural Regional Transportation Planning Agencies and Local Transportation Commissions, as well as several Metropolitan Planning Organizations (MPO) with rural areas within their boundaries.</w:t>
      </w:r>
      <w:r w:rsidR="00CC6D46">
        <w:rPr>
          <w:rFonts w:ascii="Arial" w:hAnsi="Arial" w:cs="Arial"/>
          <w:sz w:val="22"/>
          <w:szCs w:val="22"/>
        </w:rPr>
        <w:t xml:space="preserve"> </w:t>
      </w:r>
      <w:r w:rsidR="000F43FE" w:rsidRPr="00C224F7">
        <w:rPr>
          <w:rFonts w:ascii="Arial" w:hAnsi="Arial" w:cs="Arial"/>
          <w:sz w:val="22"/>
          <w:szCs w:val="22"/>
        </w:rPr>
        <w:t xml:space="preserve">While RCTF member counties are very diverse, they face common challenges with transportation project planning, </w:t>
      </w:r>
      <w:r w:rsidR="00CC6D46" w:rsidRPr="00C224F7">
        <w:rPr>
          <w:rFonts w:ascii="Arial" w:hAnsi="Arial" w:cs="Arial"/>
          <w:sz w:val="22"/>
          <w:szCs w:val="22"/>
        </w:rPr>
        <w:t>funding,</w:t>
      </w:r>
      <w:r w:rsidR="000F43FE" w:rsidRPr="00C224F7">
        <w:rPr>
          <w:rFonts w:ascii="Arial" w:hAnsi="Arial" w:cs="Arial"/>
          <w:sz w:val="22"/>
          <w:szCs w:val="22"/>
        </w:rPr>
        <w:t xml:space="preserve"> and delivery. By advocating for the common needs of rural areas, the RCTF strives to ensure that rural California is included in transportation funding and policy decisions.  </w:t>
      </w:r>
    </w:p>
    <w:p w14:paraId="26AA529E" w14:textId="77777777" w:rsidR="000F43FE" w:rsidRPr="00C224F7" w:rsidRDefault="000F43FE" w:rsidP="0010059F">
      <w:pPr>
        <w:jc w:val="both"/>
        <w:rPr>
          <w:rFonts w:ascii="Arial" w:hAnsi="Arial" w:cs="Arial"/>
          <w:sz w:val="22"/>
          <w:szCs w:val="22"/>
        </w:rPr>
      </w:pPr>
    </w:p>
    <w:p w14:paraId="4B4133CC" w14:textId="5E93534B" w:rsidR="00BB0E6B" w:rsidRPr="00C224F7" w:rsidRDefault="00350B18" w:rsidP="0010059F">
      <w:pPr>
        <w:pStyle w:val="NoSpacing"/>
        <w:jc w:val="both"/>
        <w:rPr>
          <w:rFonts w:ascii="Arial" w:hAnsi="Arial" w:cs="Arial"/>
        </w:rPr>
      </w:pPr>
      <w:r w:rsidRPr="00C224F7">
        <w:rPr>
          <w:rFonts w:ascii="Arial" w:hAnsi="Arial" w:cs="Arial"/>
        </w:rPr>
        <w:t xml:space="preserve">The ITSP is a critical document for many rural regions that depend on a safe and effective interregional network for essential connectivity, </w:t>
      </w:r>
      <w:r w:rsidR="00CC6D46" w:rsidRPr="00C224F7">
        <w:rPr>
          <w:rFonts w:ascii="Arial" w:hAnsi="Arial" w:cs="Arial"/>
        </w:rPr>
        <w:t>prosperity,</w:t>
      </w:r>
      <w:r w:rsidRPr="00C224F7">
        <w:rPr>
          <w:rFonts w:ascii="Arial" w:hAnsi="Arial" w:cs="Arial"/>
        </w:rPr>
        <w:t xml:space="preserve"> and quality of life</w:t>
      </w:r>
      <w:r w:rsidR="00CC6D46">
        <w:rPr>
          <w:rFonts w:ascii="Arial" w:hAnsi="Arial" w:cs="Arial"/>
        </w:rPr>
        <w:t xml:space="preserve">. </w:t>
      </w:r>
      <w:r w:rsidR="00F56B9E" w:rsidRPr="00C224F7">
        <w:rPr>
          <w:rFonts w:ascii="Arial" w:hAnsi="Arial" w:cs="Arial"/>
        </w:rPr>
        <w:t>This plan will provide agencies throughout the state with an important framework for i</w:t>
      </w:r>
      <w:r w:rsidR="00267F79" w:rsidRPr="00C224F7">
        <w:rPr>
          <w:rFonts w:ascii="Arial" w:hAnsi="Arial" w:cs="Arial"/>
        </w:rPr>
        <w:t>mplementing the future of inter</w:t>
      </w:r>
      <w:r w:rsidR="00F56B9E" w:rsidRPr="00C224F7">
        <w:rPr>
          <w:rFonts w:ascii="Arial" w:hAnsi="Arial" w:cs="Arial"/>
        </w:rPr>
        <w:t xml:space="preserve">regional and multimodal transportation projects. Individual RCTF member agencies may have concerns regarding specific routes in the plan, but our comments will focus on concerns regarding the </w:t>
      </w:r>
      <w:r w:rsidRPr="00C224F7">
        <w:rPr>
          <w:rFonts w:ascii="Arial" w:eastAsia="Times New Roman" w:hAnsi="Arial" w:cs="Arial"/>
        </w:rPr>
        <w:t xml:space="preserve">scoring criteria proposed </w:t>
      </w:r>
      <w:r w:rsidR="00F4420F" w:rsidRPr="00C224F7">
        <w:rPr>
          <w:rFonts w:ascii="Arial" w:eastAsia="Times New Roman" w:hAnsi="Arial" w:cs="Arial"/>
        </w:rPr>
        <w:t>in Appendix A</w:t>
      </w:r>
      <w:r w:rsidR="00F56B9E" w:rsidRPr="00C224F7">
        <w:rPr>
          <w:rFonts w:ascii="Arial" w:eastAsia="Times New Roman" w:hAnsi="Arial" w:cs="Arial"/>
        </w:rPr>
        <w:t>, which have the potential to</w:t>
      </w:r>
      <w:r w:rsidRPr="00C224F7">
        <w:rPr>
          <w:rFonts w:ascii="Arial" w:eastAsia="Times New Roman" w:hAnsi="Arial" w:cs="Arial"/>
        </w:rPr>
        <w:t xml:space="preserve"> </w:t>
      </w:r>
      <w:r w:rsidR="00267F79" w:rsidRPr="00C224F7">
        <w:rPr>
          <w:rFonts w:ascii="Arial" w:eastAsia="Times New Roman" w:hAnsi="Arial" w:cs="Arial"/>
        </w:rPr>
        <w:t xml:space="preserve">disproportionately </w:t>
      </w:r>
      <w:r w:rsidRPr="00C224F7">
        <w:rPr>
          <w:rFonts w:ascii="Arial" w:eastAsia="Times New Roman" w:hAnsi="Arial" w:cs="Arial"/>
        </w:rPr>
        <w:t>disadvantage rural counties</w:t>
      </w:r>
      <w:r w:rsidR="00F56B9E" w:rsidRPr="00C224F7">
        <w:rPr>
          <w:rFonts w:ascii="Arial" w:eastAsia="Times New Roman" w:hAnsi="Arial" w:cs="Arial"/>
        </w:rPr>
        <w:t xml:space="preserve"> in general</w:t>
      </w:r>
      <w:r w:rsidRPr="00C224F7">
        <w:rPr>
          <w:rFonts w:ascii="Arial" w:eastAsia="Times New Roman" w:hAnsi="Arial" w:cs="Arial"/>
        </w:rPr>
        <w:t xml:space="preserve">. </w:t>
      </w:r>
      <w:r w:rsidR="000C4A24" w:rsidRPr="00C224F7">
        <w:rPr>
          <w:rFonts w:ascii="Arial" w:eastAsia="Times New Roman" w:hAnsi="Arial" w:cs="Arial"/>
        </w:rPr>
        <w:t>As we see a welcomed and enhanced focus on equity across the St</w:t>
      </w:r>
      <w:r w:rsidR="000F43FE" w:rsidRPr="00C224F7">
        <w:rPr>
          <w:rFonts w:ascii="Arial" w:eastAsia="Times New Roman" w:hAnsi="Arial" w:cs="Arial"/>
        </w:rPr>
        <w:t>a</w:t>
      </w:r>
      <w:r w:rsidR="000C4A24" w:rsidRPr="00C224F7">
        <w:rPr>
          <w:rFonts w:ascii="Arial" w:eastAsia="Times New Roman" w:hAnsi="Arial" w:cs="Arial"/>
        </w:rPr>
        <w:t>te, it’s important to keep in mind that rural</w:t>
      </w:r>
      <w:r w:rsidR="000F43FE" w:rsidRPr="00C224F7">
        <w:rPr>
          <w:rFonts w:ascii="Arial" w:eastAsia="Times New Roman" w:hAnsi="Arial" w:cs="Arial"/>
        </w:rPr>
        <w:t xml:space="preserve"> areas are home to some of the most disadvantaged </w:t>
      </w:r>
      <w:r w:rsidR="00182854" w:rsidRPr="00C224F7">
        <w:rPr>
          <w:rFonts w:ascii="Arial" w:eastAsia="Times New Roman" w:hAnsi="Arial" w:cs="Arial"/>
        </w:rPr>
        <w:t>communities and</w:t>
      </w:r>
      <w:r w:rsidR="000F43FE" w:rsidRPr="00C224F7">
        <w:rPr>
          <w:rFonts w:ascii="Arial" w:eastAsia="Times New Roman" w:hAnsi="Arial" w:cs="Arial"/>
        </w:rPr>
        <w:t xml:space="preserve"> </w:t>
      </w:r>
      <w:r w:rsidR="000C4A24" w:rsidRPr="00C224F7">
        <w:rPr>
          <w:rFonts w:ascii="Arial" w:eastAsia="Times New Roman" w:hAnsi="Arial" w:cs="Arial"/>
        </w:rPr>
        <w:t>are often the most underserved</w:t>
      </w:r>
      <w:r w:rsidR="000F43FE" w:rsidRPr="00C224F7">
        <w:rPr>
          <w:rFonts w:ascii="Arial" w:eastAsia="Times New Roman" w:hAnsi="Arial" w:cs="Arial"/>
        </w:rPr>
        <w:t xml:space="preserve">. </w:t>
      </w:r>
      <w:r w:rsidR="00BB0E6B" w:rsidRPr="00C224F7">
        <w:rPr>
          <w:rFonts w:ascii="Arial" w:hAnsi="Arial" w:cs="Arial"/>
        </w:rPr>
        <w:t>Our comments on the Draft ITSP are as follows:</w:t>
      </w:r>
    </w:p>
    <w:p w14:paraId="30D6AFC7" w14:textId="77777777" w:rsidR="00BB0E6B" w:rsidRPr="00C224F7" w:rsidRDefault="00BB0E6B" w:rsidP="0010059F">
      <w:pPr>
        <w:pStyle w:val="NoSpacing"/>
        <w:jc w:val="both"/>
        <w:rPr>
          <w:rFonts w:ascii="Arial" w:hAnsi="Arial" w:cs="Arial"/>
        </w:rPr>
      </w:pPr>
    </w:p>
    <w:p w14:paraId="2D911208" w14:textId="77777777" w:rsidR="00BB0E6B" w:rsidRPr="00C224F7" w:rsidRDefault="00BB0E6B" w:rsidP="00F35163">
      <w:pPr>
        <w:rPr>
          <w:rFonts w:ascii="Arial" w:eastAsia="Times New Roman" w:hAnsi="Arial" w:cs="Arial"/>
          <w:i/>
          <w:sz w:val="22"/>
          <w:szCs w:val="22"/>
        </w:rPr>
      </w:pPr>
      <w:r w:rsidRPr="00C224F7">
        <w:rPr>
          <w:rFonts w:ascii="Arial" w:eastAsia="Times New Roman" w:hAnsi="Arial" w:cs="Arial"/>
          <w:i/>
          <w:sz w:val="22"/>
          <w:szCs w:val="22"/>
        </w:rPr>
        <w:t xml:space="preserve">Criteria: Does the project demonstrate interregional travel mode shift, including rail, transit, or active transportation?  </w:t>
      </w:r>
    </w:p>
    <w:p w14:paraId="316D989F" w14:textId="77777777" w:rsidR="00BB0E6B" w:rsidRPr="00C224F7" w:rsidRDefault="00BB0E6B" w:rsidP="0010059F">
      <w:pPr>
        <w:ind w:left="360"/>
        <w:rPr>
          <w:rFonts w:ascii="Arial" w:eastAsia="Times New Roman" w:hAnsi="Arial" w:cs="Arial"/>
          <w:i/>
          <w:sz w:val="22"/>
          <w:szCs w:val="22"/>
        </w:rPr>
      </w:pPr>
    </w:p>
    <w:p w14:paraId="5484CBD3" w14:textId="7CCD9F95" w:rsidR="00BB0E6B" w:rsidRPr="00C224F7" w:rsidRDefault="000C4A24" w:rsidP="00CC6D4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HAnsi" w:hAnsi="Arial" w:cs="Arial"/>
          <w:sz w:val="22"/>
          <w:szCs w:val="22"/>
        </w:rPr>
      </w:pPr>
      <w:r w:rsidRPr="00C224F7">
        <w:rPr>
          <w:rFonts w:ascii="Arial" w:eastAsia="Times New Roman" w:hAnsi="Arial" w:cs="Arial"/>
          <w:sz w:val="22"/>
          <w:szCs w:val="22"/>
        </w:rPr>
        <w:t xml:space="preserve">Projects on </w:t>
      </w:r>
      <w:r w:rsidR="00BB0E6B" w:rsidRPr="00C224F7">
        <w:rPr>
          <w:rFonts w:ascii="Arial" w:eastAsia="Times New Roman" w:hAnsi="Arial" w:cs="Arial"/>
          <w:sz w:val="22"/>
          <w:szCs w:val="22"/>
        </w:rPr>
        <w:t>rural interregional highway corridor</w:t>
      </w:r>
      <w:r w:rsidRPr="00C224F7">
        <w:rPr>
          <w:rFonts w:ascii="Arial" w:eastAsia="Times New Roman" w:hAnsi="Arial" w:cs="Arial"/>
          <w:sz w:val="22"/>
          <w:szCs w:val="22"/>
        </w:rPr>
        <w:t>s</w:t>
      </w:r>
      <w:r w:rsidR="00BB0E6B" w:rsidRPr="00C224F7">
        <w:rPr>
          <w:rFonts w:ascii="Arial" w:eastAsia="Times New Roman" w:hAnsi="Arial" w:cs="Arial"/>
          <w:sz w:val="22"/>
          <w:szCs w:val="22"/>
        </w:rPr>
        <w:t xml:space="preserve"> </w:t>
      </w:r>
      <w:r w:rsidRPr="00C224F7">
        <w:rPr>
          <w:rFonts w:ascii="Arial" w:eastAsia="Times New Roman" w:hAnsi="Arial" w:cs="Arial"/>
          <w:sz w:val="22"/>
          <w:szCs w:val="22"/>
        </w:rPr>
        <w:t>primarily focus on improving</w:t>
      </w:r>
      <w:r w:rsidR="00BB0E6B" w:rsidRPr="00C224F7">
        <w:rPr>
          <w:rFonts w:ascii="Arial" w:eastAsia="Times New Roman" w:hAnsi="Arial" w:cs="Arial"/>
          <w:sz w:val="22"/>
          <w:szCs w:val="22"/>
        </w:rPr>
        <w:t xml:space="preserve"> safety, connectivity, and goods movement</w:t>
      </w:r>
      <w:r w:rsidRPr="00C224F7">
        <w:rPr>
          <w:rFonts w:ascii="Arial" w:eastAsia="Times New Roman" w:hAnsi="Arial" w:cs="Arial"/>
          <w:sz w:val="22"/>
          <w:szCs w:val="22"/>
        </w:rPr>
        <w:t xml:space="preserve">. </w:t>
      </w:r>
      <w:r w:rsidR="008C6C53" w:rsidRPr="00C224F7">
        <w:rPr>
          <w:rFonts w:ascii="Arial" w:eastAsia="Times New Roman" w:hAnsi="Arial" w:cs="Arial"/>
          <w:sz w:val="22"/>
          <w:szCs w:val="22"/>
        </w:rPr>
        <w:t xml:space="preserve">Often, these projects take a decade or more to plan and </w:t>
      </w:r>
      <w:r w:rsidR="008C6C53" w:rsidRPr="00C224F7">
        <w:rPr>
          <w:rFonts w:ascii="Arial" w:eastAsia="Times New Roman" w:hAnsi="Arial" w:cs="Arial"/>
          <w:sz w:val="22"/>
          <w:szCs w:val="22"/>
        </w:rPr>
        <w:lastRenderedPageBreak/>
        <w:t xml:space="preserve">deliver due to the limited formula shares available to rural counties. And, while these more traditional improvements are </w:t>
      </w:r>
      <w:r w:rsidRPr="00C224F7">
        <w:rPr>
          <w:rFonts w:ascii="Arial" w:eastAsia="Times New Roman" w:hAnsi="Arial" w:cs="Arial"/>
          <w:sz w:val="22"/>
          <w:szCs w:val="22"/>
        </w:rPr>
        <w:t>critical to rural communities, these projects</w:t>
      </w:r>
      <w:r w:rsidR="00BB0E6B" w:rsidRPr="00C224F7">
        <w:rPr>
          <w:rFonts w:ascii="Arial" w:eastAsia="Times New Roman" w:hAnsi="Arial" w:cs="Arial"/>
          <w:sz w:val="22"/>
          <w:szCs w:val="22"/>
        </w:rPr>
        <w:t xml:space="preserve"> will not score well in this category. We acknowledge that there may be</w:t>
      </w:r>
      <w:r w:rsidRPr="00C224F7">
        <w:rPr>
          <w:rFonts w:ascii="Arial" w:eastAsia="Times New Roman" w:hAnsi="Arial" w:cs="Arial"/>
          <w:sz w:val="22"/>
          <w:szCs w:val="22"/>
        </w:rPr>
        <w:t xml:space="preserve"> some</w:t>
      </w:r>
      <w:r w:rsidR="00BB0E6B" w:rsidRPr="00C224F7">
        <w:rPr>
          <w:rFonts w:ascii="Arial" w:eastAsia="Times New Roman" w:hAnsi="Arial" w:cs="Arial"/>
          <w:sz w:val="22"/>
          <w:szCs w:val="22"/>
        </w:rPr>
        <w:t xml:space="preserve"> rural intercity rail or other type project that could potentially score well in this category, but we believe the criteria should acknowledge the lack of opportunity in certain corridors </w:t>
      </w:r>
      <w:r w:rsidRPr="00C224F7">
        <w:rPr>
          <w:rFonts w:ascii="Arial" w:eastAsia="Times New Roman" w:hAnsi="Arial" w:cs="Arial"/>
          <w:sz w:val="22"/>
          <w:szCs w:val="22"/>
        </w:rPr>
        <w:t xml:space="preserve">in order to avoid </w:t>
      </w:r>
      <w:r w:rsidR="00BB0E6B" w:rsidRPr="00C224F7">
        <w:rPr>
          <w:rFonts w:ascii="Arial" w:eastAsia="Times New Roman" w:hAnsi="Arial" w:cs="Arial"/>
          <w:sz w:val="22"/>
          <w:szCs w:val="22"/>
        </w:rPr>
        <w:t>penalizing projects on rural corridors.</w:t>
      </w:r>
      <w:r w:rsidR="008C6C53" w:rsidRPr="00C224F7">
        <w:rPr>
          <w:rFonts w:ascii="Arial" w:eastAsia="Times New Roman" w:hAnsi="Arial" w:cs="Arial"/>
          <w:sz w:val="22"/>
          <w:szCs w:val="22"/>
        </w:rPr>
        <w:t xml:space="preserve"> </w:t>
      </w:r>
    </w:p>
    <w:p w14:paraId="058C431C" w14:textId="77777777" w:rsidR="00BB0E6B" w:rsidRPr="00C224F7" w:rsidRDefault="00BB0E6B" w:rsidP="0010059F">
      <w:pPr>
        <w:ind w:left="720"/>
        <w:rPr>
          <w:rFonts w:ascii="Arial" w:eastAsiaTheme="minorHAnsi" w:hAnsi="Arial" w:cs="Arial"/>
          <w:sz w:val="22"/>
          <w:szCs w:val="22"/>
        </w:rPr>
      </w:pPr>
    </w:p>
    <w:p w14:paraId="70F73A66" w14:textId="77777777" w:rsidR="00BB0E6B" w:rsidRPr="00C224F7" w:rsidRDefault="00BB0E6B" w:rsidP="00F35163">
      <w:pPr>
        <w:rPr>
          <w:rFonts w:ascii="Arial" w:eastAsia="Times New Roman" w:hAnsi="Arial" w:cs="Arial"/>
          <w:i/>
          <w:sz w:val="22"/>
          <w:szCs w:val="22"/>
        </w:rPr>
      </w:pPr>
      <w:r w:rsidRPr="00C224F7">
        <w:rPr>
          <w:rFonts w:ascii="Arial" w:eastAsia="Times New Roman" w:hAnsi="Arial" w:cs="Arial"/>
          <w:i/>
          <w:sz w:val="22"/>
          <w:szCs w:val="22"/>
        </w:rPr>
        <w:t xml:space="preserve">Criteria: How does the project impact single occupancy vehicle miles traveled?  </w:t>
      </w:r>
    </w:p>
    <w:p w14:paraId="578841DB" w14:textId="77777777" w:rsidR="00BB0E6B" w:rsidRPr="00C224F7" w:rsidRDefault="00BB0E6B" w:rsidP="0010059F">
      <w:pPr>
        <w:ind w:firstLine="360"/>
        <w:rPr>
          <w:rFonts w:ascii="Arial" w:eastAsia="Times New Roman" w:hAnsi="Arial" w:cs="Arial"/>
          <w:i/>
          <w:sz w:val="22"/>
          <w:szCs w:val="22"/>
        </w:rPr>
      </w:pPr>
    </w:p>
    <w:p w14:paraId="2153507E" w14:textId="201F81F1" w:rsidR="00BB0E6B" w:rsidRPr="00C224F7" w:rsidRDefault="00F4420F" w:rsidP="00CC6D4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C224F7">
        <w:rPr>
          <w:rFonts w:ascii="Arial" w:eastAsia="Times New Roman" w:hAnsi="Arial" w:cs="Arial"/>
          <w:sz w:val="22"/>
          <w:szCs w:val="22"/>
        </w:rPr>
        <w:t xml:space="preserve">We believe that this criteria is inconsistent with CAPTI, which </w:t>
      </w:r>
      <w:r w:rsidR="00BB0E6B" w:rsidRPr="00C224F7">
        <w:rPr>
          <w:rFonts w:ascii="Arial" w:eastAsia="Times New Roman" w:hAnsi="Arial" w:cs="Arial"/>
          <w:sz w:val="22"/>
          <w:szCs w:val="22"/>
        </w:rPr>
        <w:t xml:space="preserve">encourages investment in projects that do not </w:t>
      </w:r>
      <w:r w:rsidR="00BB0E6B" w:rsidRPr="00C224F7">
        <w:rPr>
          <w:rFonts w:ascii="Arial" w:eastAsia="Times New Roman" w:hAnsi="Arial" w:cs="Arial"/>
          <w:i/>
          <w:sz w:val="22"/>
          <w:szCs w:val="22"/>
        </w:rPr>
        <w:t>significantly</w:t>
      </w:r>
      <w:r w:rsidR="00BB0E6B" w:rsidRPr="00C224F7">
        <w:rPr>
          <w:rFonts w:ascii="Arial" w:eastAsia="Times New Roman" w:hAnsi="Arial" w:cs="Arial"/>
          <w:sz w:val="22"/>
          <w:szCs w:val="22"/>
        </w:rPr>
        <w:t xml:space="preserve"> increase VMT</w:t>
      </w:r>
      <w:r w:rsidRPr="00C224F7">
        <w:rPr>
          <w:rFonts w:ascii="Arial" w:eastAsia="Times New Roman" w:hAnsi="Arial" w:cs="Arial"/>
          <w:sz w:val="22"/>
          <w:szCs w:val="22"/>
        </w:rPr>
        <w:t xml:space="preserve">. </w:t>
      </w:r>
      <w:r w:rsidR="00BB0E6B" w:rsidRPr="00C224F7">
        <w:rPr>
          <w:rFonts w:ascii="Arial" w:eastAsia="Times New Roman" w:hAnsi="Arial" w:cs="Arial"/>
          <w:sz w:val="22"/>
          <w:szCs w:val="22"/>
        </w:rPr>
        <w:t xml:space="preserve">The proposed scoring would provide a maximum of 3 points </w:t>
      </w:r>
      <w:r w:rsidR="00BA1691" w:rsidRPr="00C224F7">
        <w:rPr>
          <w:rFonts w:ascii="Arial" w:eastAsia="Times New Roman" w:hAnsi="Arial" w:cs="Arial"/>
          <w:sz w:val="22"/>
          <w:szCs w:val="22"/>
        </w:rPr>
        <w:t xml:space="preserve">only </w:t>
      </w:r>
      <w:r w:rsidR="00BB0E6B" w:rsidRPr="00C224F7">
        <w:rPr>
          <w:rFonts w:ascii="Arial" w:eastAsia="Times New Roman" w:hAnsi="Arial" w:cs="Arial"/>
          <w:sz w:val="22"/>
          <w:szCs w:val="22"/>
        </w:rPr>
        <w:t xml:space="preserve">to projects that </w:t>
      </w:r>
      <w:r w:rsidR="00BB0E6B" w:rsidRPr="00C224F7">
        <w:rPr>
          <w:rFonts w:ascii="Arial" w:eastAsia="Times New Roman" w:hAnsi="Arial" w:cs="Arial"/>
          <w:i/>
          <w:sz w:val="22"/>
          <w:szCs w:val="22"/>
        </w:rPr>
        <w:t xml:space="preserve">significantly reduce </w:t>
      </w:r>
      <w:r w:rsidR="00BB0E6B" w:rsidRPr="00C224F7">
        <w:rPr>
          <w:rFonts w:ascii="Arial" w:eastAsia="Times New Roman" w:hAnsi="Arial" w:cs="Arial"/>
          <w:sz w:val="22"/>
          <w:szCs w:val="22"/>
        </w:rPr>
        <w:t xml:space="preserve">VMT, a project with </w:t>
      </w:r>
      <w:r w:rsidR="00BB0E6B" w:rsidRPr="00C224F7">
        <w:rPr>
          <w:rFonts w:ascii="Arial" w:eastAsia="Times New Roman" w:hAnsi="Arial" w:cs="Arial"/>
          <w:i/>
          <w:sz w:val="22"/>
          <w:szCs w:val="22"/>
        </w:rPr>
        <w:t>no reduction</w:t>
      </w:r>
      <w:r w:rsidR="00BB0E6B" w:rsidRPr="00C224F7">
        <w:rPr>
          <w:rFonts w:ascii="Arial" w:eastAsia="Times New Roman" w:hAnsi="Arial" w:cs="Arial"/>
          <w:sz w:val="22"/>
          <w:szCs w:val="22"/>
        </w:rPr>
        <w:t xml:space="preserve"> in VMT only 1 out of 3 points, and if the project increased VMT, even negligibly, would get 0 points. </w:t>
      </w:r>
      <w:r w:rsidRPr="00C224F7">
        <w:rPr>
          <w:rFonts w:ascii="Arial" w:eastAsia="Times New Roman" w:hAnsi="Arial" w:cs="Arial"/>
          <w:sz w:val="22"/>
          <w:szCs w:val="22"/>
        </w:rPr>
        <w:t xml:space="preserve">For consistency with CAPTI and to avoid disproportionately affecting rural areas, </w:t>
      </w:r>
      <w:r w:rsidR="00BA1691" w:rsidRPr="00C224F7">
        <w:rPr>
          <w:rFonts w:ascii="Arial" w:eastAsia="Times New Roman" w:hAnsi="Arial" w:cs="Arial"/>
          <w:sz w:val="22"/>
          <w:szCs w:val="22"/>
        </w:rPr>
        <w:t xml:space="preserve">we believe scoring should be modified to reflect the goal of investment in projects </w:t>
      </w:r>
      <w:r w:rsidRPr="00C224F7">
        <w:rPr>
          <w:rFonts w:ascii="Arial" w:eastAsia="Times New Roman" w:hAnsi="Arial" w:cs="Arial"/>
          <w:sz w:val="22"/>
          <w:szCs w:val="22"/>
        </w:rPr>
        <w:t xml:space="preserve">that </w:t>
      </w:r>
      <w:r w:rsidRPr="00C224F7">
        <w:rPr>
          <w:rFonts w:ascii="Arial" w:eastAsia="Times New Roman" w:hAnsi="Arial" w:cs="Arial"/>
          <w:i/>
          <w:sz w:val="22"/>
          <w:szCs w:val="22"/>
        </w:rPr>
        <w:t>do not significantly</w:t>
      </w:r>
      <w:r w:rsidRPr="00C224F7">
        <w:rPr>
          <w:rFonts w:ascii="Arial" w:eastAsia="Times New Roman" w:hAnsi="Arial" w:cs="Arial"/>
          <w:sz w:val="22"/>
          <w:szCs w:val="22"/>
        </w:rPr>
        <w:t xml:space="preserve"> increase VMT, which most rural projects achieve.</w:t>
      </w:r>
    </w:p>
    <w:p w14:paraId="1443B4C3" w14:textId="77777777" w:rsidR="00BB0E6B" w:rsidRPr="00C224F7" w:rsidRDefault="00BB0E6B" w:rsidP="0010059F">
      <w:pPr>
        <w:ind w:firstLine="360"/>
        <w:rPr>
          <w:rFonts w:ascii="Arial" w:eastAsia="Times New Roman" w:hAnsi="Arial" w:cs="Arial"/>
          <w:i/>
          <w:sz w:val="22"/>
          <w:szCs w:val="22"/>
        </w:rPr>
      </w:pPr>
    </w:p>
    <w:p w14:paraId="047A5F28" w14:textId="77777777" w:rsidR="00BB0E6B" w:rsidRPr="00C224F7" w:rsidRDefault="00BB0E6B" w:rsidP="00F35163">
      <w:pPr>
        <w:rPr>
          <w:rFonts w:ascii="Arial" w:eastAsia="Times New Roman" w:hAnsi="Arial" w:cs="Arial"/>
          <w:i/>
          <w:sz w:val="22"/>
          <w:szCs w:val="22"/>
        </w:rPr>
      </w:pPr>
      <w:r w:rsidRPr="00C224F7">
        <w:rPr>
          <w:rFonts w:ascii="Arial" w:eastAsia="Times New Roman" w:hAnsi="Arial" w:cs="Arial"/>
          <w:i/>
          <w:sz w:val="22"/>
          <w:szCs w:val="22"/>
        </w:rPr>
        <w:t xml:space="preserve">Criteria: Does the project leverage partner funds?  </w:t>
      </w:r>
    </w:p>
    <w:p w14:paraId="65A12B7D" w14:textId="77777777" w:rsidR="00BB0E6B" w:rsidRPr="00C224F7" w:rsidRDefault="00BB0E6B" w:rsidP="0010059F">
      <w:pPr>
        <w:ind w:firstLine="360"/>
        <w:rPr>
          <w:rFonts w:ascii="Arial" w:eastAsia="Times New Roman" w:hAnsi="Arial" w:cs="Arial"/>
          <w:i/>
          <w:sz w:val="22"/>
          <w:szCs w:val="22"/>
        </w:rPr>
      </w:pPr>
    </w:p>
    <w:p w14:paraId="730E4FD2" w14:textId="12DB31E1" w:rsidR="00BB0E6B" w:rsidRPr="00C224F7" w:rsidRDefault="00187EA0" w:rsidP="00DB2FD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gramStart"/>
      <w:r w:rsidRPr="00C224F7">
        <w:rPr>
          <w:rFonts w:ascii="Arial" w:eastAsia="Times New Roman" w:hAnsi="Arial" w:cs="Arial"/>
          <w:sz w:val="22"/>
          <w:szCs w:val="22"/>
        </w:rPr>
        <w:t>This criteria</w:t>
      </w:r>
      <w:proofErr w:type="gramEnd"/>
      <w:r w:rsidRPr="00C224F7">
        <w:rPr>
          <w:rFonts w:ascii="Arial" w:eastAsia="Times New Roman" w:hAnsi="Arial" w:cs="Arial"/>
          <w:sz w:val="22"/>
          <w:szCs w:val="22"/>
        </w:rPr>
        <w:t xml:space="preserve"> significantly impacts rural projects and is inconsistent with equity goals. </w:t>
      </w:r>
      <w:r w:rsidR="00BB0E6B" w:rsidRPr="00C224F7">
        <w:rPr>
          <w:rFonts w:ascii="Arial" w:eastAsia="Times New Roman" w:hAnsi="Arial" w:cs="Arial"/>
          <w:sz w:val="22"/>
          <w:szCs w:val="22"/>
        </w:rPr>
        <w:t>To receive the full 3 points a rural agency would need to provide greater than 50% percent leveraging funds. This disadvantages rural jurisdictions in the scoring process</w:t>
      </w:r>
      <w:r w:rsidR="0010059F" w:rsidRPr="00C224F7">
        <w:rPr>
          <w:rFonts w:ascii="Arial" w:eastAsia="Times New Roman" w:hAnsi="Arial" w:cs="Arial"/>
          <w:sz w:val="22"/>
          <w:szCs w:val="22"/>
        </w:rPr>
        <w:t>,</w:t>
      </w:r>
      <w:r w:rsidR="00BB0E6B" w:rsidRPr="00C224F7">
        <w:rPr>
          <w:rFonts w:ascii="Arial" w:eastAsia="Times New Roman" w:hAnsi="Arial" w:cs="Arial"/>
          <w:sz w:val="22"/>
          <w:szCs w:val="22"/>
        </w:rPr>
        <w:t xml:space="preserve"> as a significant match is normally not available to these small jurisdictions</w:t>
      </w:r>
      <w:r w:rsidR="0010059F" w:rsidRPr="00C224F7">
        <w:rPr>
          <w:rFonts w:ascii="Arial" w:eastAsia="Times New Roman" w:hAnsi="Arial" w:cs="Arial"/>
          <w:sz w:val="22"/>
          <w:szCs w:val="22"/>
        </w:rPr>
        <w:t>, particularly for large projects</w:t>
      </w:r>
      <w:r w:rsidR="00BB0E6B" w:rsidRPr="00C224F7">
        <w:rPr>
          <w:rFonts w:ascii="Arial" w:eastAsia="Times New Roman" w:hAnsi="Arial" w:cs="Arial"/>
          <w:sz w:val="22"/>
          <w:szCs w:val="22"/>
        </w:rPr>
        <w:t>. Rural agencies have very small Regional Improvement Program (RIP) formula shares,</w:t>
      </w:r>
      <w:r w:rsidR="0010059F" w:rsidRPr="00C224F7">
        <w:rPr>
          <w:rFonts w:ascii="Arial" w:eastAsia="Times New Roman" w:hAnsi="Arial" w:cs="Arial"/>
          <w:sz w:val="22"/>
          <w:szCs w:val="22"/>
        </w:rPr>
        <w:t xml:space="preserve"> are often not eligible for other formula funding sources,</w:t>
      </w:r>
      <w:r w:rsidR="00BB0E6B" w:rsidRPr="00C224F7">
        <w:rPr>
          <w:rFonts w:ascii="Arial" w:eastAsia="Times New Roman" w:hAnsi="Arial" w:cs="Arial"/>
          <w:sz w:val="22"/>
          <w:szCs w:val="22"/>
        </w:rPr>
        <w:t xml:space="preserve"> and </w:t>
      </w:r>
      <w:r w:rsidR="0010059F" w:rsidRPr="00C224F7">
        <w:rPr>
          <w:rFonts w:ascii="Arial" w:eastAsia="Times New Roman" w:hAnsi="Arial" w:cs="Arial"/>
          <w:sz w:val="22"/>
          <w:szCs w:val="22"/>
        </w:rPr>
        <w:t>few</w:t>
      </w:r>
      <w:r w:rsidR="00BB0E6B" w:rsidRPr="00C224F7">
        <w:rPr>
          <w:rFonts w:ascii="Arial" w:eastAsia="Times New Roman" w:hAnsi="Arial" w:cs="Arial"/>
          <w:sz w:val="22"/>
          <w:szCs w:val="22"/>
        </w:rPr>
        <w:t xml:space="preserve"> have countywide sales tax measures so it will be nearly impossible to leverage even 26%</w:t>
      </w:r>
      <w:r w:rsidR="0010059F" w:rsidRPr="00C224F7">
        <w:rPr>
          <w:rFonts w:ascii="Arial" w:eastAsia="Times New Roman" w:hAnsi="Arial" w:cs="Arial"/>
          <w:sz w:val="22"/>
          <w:szCs w:val="22"/>
        </w:rPr>
        <w:t>,</w:t>
      </w:r>
      <w:r w:rsidR="00BB0E6B" w:rsidRPr="00C224F7">
        <w:rPr>
          <w:rFonts w:ascii="Arial" w:eastAsia="Times New Roman" w:hAnsi="Arial" w:cs="Arial"/>
          <w:sz w:val="22"/>
          <w:szCs w:val="22"/>
        </w:rPr>
        <w:t xml:space="preserve"> let alone more than 50% for funding a right-of-way or construction component</w:t>
      </w:r>
      <w:r w:rsidR="0010059F" w:rsidRPr="00C224F7">
        <w:rPr>
          <w:rFonts w:ascii="Arial" w:eastAsia="Times New Roman" w:hAnsi="Arial" w:cs="Arial"/>
          <w:sz w:val="22"/>
          <w:szCs w:val="22"/>
        </w:rPr>
        <w:t xml:space="preserve">. </w:t>
      </w:r>
      <w:r w:rsidR="00BB0E6B" w:rsidRPr="00C224F7">
        <w:rPr>
          <w:rFonts w:ascii="Arial" w:eastAsia="Times New Roman" w:hAnsi="Arial" w:cs="Arial"/>
          <w:sz w:val="22"/>
          <w:szCs w:val="22"/>
        </w:rPr>
        <w:t xml:space="preserve">This </w:t>
      </w:r>
      <w:r w:rsidRPr="00C224F7">
        <w:rPr>
          <w:rFonts w:ascii="Arial" w:eastAsia="Times New Roman" w:hAnsi="Arial" w:cs="Arial"/>
          <w:sz w:val="22"/>
          <w:szCs w:val="22"/>
        </w:rPr>
        <w:t xml:space="preserve">scoring criteria </w:t>
      </w:r>
      <w:r w:rsidR="00BB0E6B" w:rsidRPr="00C224F7">
        <w:rPr>
          <w:rFonts w:ascii="Arial" w:eastAsia="Times New Roman" w:hAnsi="Arial" w:cs="Arial"/>
          <w:sz w:val="22"/>
          <w:szCs w:val="22"/>
        </w:rPr>
        <w:t xml:space="preserve">would limit the vast majority of rural counties to 1 point in </w:t>
      </w:r>
      <w:proofErr w:type="gramStart"/>
      <w:r w:rsidR="00BB0E6B" w:rsidRPr="00C224F7">
        <w:rPr>
          <w:rFonts w:ascii="Arial" w:eastAsia="Times New Roman" w:hAnsi="Arial" w:cs="Arial"/>
          <w:sz w:val="22"/>
          <w:szCs w:val="22"/>
        </w:rPr>
        <w:t>this criteria</w:t>
      </w:r>
      <w:proofErr w:type="gramEnd"/>
      <w:r w:rsidR="00BB0E6B" w:rsidRPr="00C224F7">
        <w:rPr>
          <w:rFonts w:ascii="Arial" w:eastAsia="Times New Roman" w:hAnsi="Arial" w:cs="Arial"/>
          <w:sz w:val="22"/>
          <w:szCs w:val="22"/>
        </w:rPr>
        <w:t>.</w:t>
      </w:r>
    </w:p>
    <w:p w14:paraId="07191D55" w14:textId="77777777" w:rsidR="00BB0E6B" w:rsidRPr="00C224F7" w:rsidRDefault="00BB0E6B" w:rsidP="0010059F">
      <w:pPr>
        <w:ind w:left="720"/>
        <w:rPr>
          <w:rFonts w:ascii="Arial" w:eastAsia="Times New Roman" w:hAnsi="Arial" w:cs="Arial"/>
          <w:sz w:val="22"/>
          <w:szCs w:val="22"/>
        </w:rPr>
      </w:pPr>
    </w:p>
    <w:p w14:paraId="69870AE3" w14:textId="77777777" w:rsidR="00BB0E6B" w:rsidRPr="00C224F7" w:rsidRDefault="00BB0E6B" w:rsidP="0010059F">
      <w:pPr>
        <w:rPr>
          <w:rFonts w:ascii="Arial" w:eastAsia="Times New Roman" w:hAnsi="Arial" w:cs="Arial"/>
          <w:i/>
          <w:sz w:val="22"/>
          <w:szCs w:val="22"/>
        </w:rPr>
      </w:pPr>
      <w:r w:rsidRPr="00C224F7">
        <w:rPr>
          <w:rFonts w:ascii="Arial" w:eastAsia="Times New Roman" w:hAnsi="Arial" w:cs="Arial"/>
          <w:i/>
          <w:sz w:val="22"/>
          <w:szCs w:val="22"/>
        </w:rPr>
        <w:t>Criteria: Does the project reduce fatalities and severe injuries for all users in alignment with the Safe Systems approach?</w:t>
      </w:r>
    </w:p>
    <w:p w14:paraId="7CB98B77" w14:textId="77777777" w:rsidR="00BB0E6B" w:rsidRPr="00C224F7" w:rsidRDefault="00BB0E6B" w:rsidP="0010059F">
      <w:pPr>
        <w:rPr>
          <w:rFonts w:ascii="Arial" w:eastAsia="Times New Roman" w:hAnsi="Arial" w:cs="Arial"/>
          <w:i/>
          <w:sz w:val="22"/>
          <w:szCs w:val="22"/>
        </w:rPr>
      </w:pPr>
    </w:p>
    <w:p w14:paraId="75284EBC" w14:textId="5E4CD4D6" w:rsidR="00BB0E6B" w:rsidRPr="00C224F7" w:rsidRDefault="00F4420F" w:rsidP="00DB2FDE">
      <w:pPr>
        <w:pStyle w:val="ListParagraph"/>
        <w:numPr>
          <w:ilvl w:val="0"/>
          <w:numId w:val="33"/>
        </w:numPr>
        <w:spacing w:after="0" w:line="240" w:lineRule="auto"/>
        <w:jc w:val="both"/>
        <w:rPr>
          <w:rFonts w:ascii="Arial" w:hAnsi="Arial" w:cs="Arial"/>
        </w:rPr>
      </w:pPr>
      <w:r w:rsidRPr="00C224F7">
        <w:rPr>
          <w:rFonts w:ascii="Arial" w:eastAsia="Times New Roman" w:hAnsi="Arial" w:cs="Arial"/>
        </w:rPr>
        <w:t>S</w:t>
      </w:r>
      <w:r w:rsidR="00BB0E6B" w:rsidRPr="00C224F7">
        <w:rPr>
          <w:rFonts w:ascii="Arial" w:eastAsia="Times New Roman" w:hAnsi="Arial" w:cs="Arial"/>
        </w:rPr>
        <w:t xml:space="preserve">afety of all users </w:t>
      </w:r>
      <w:r w:rsidR="000C4A24" w:rsidRPr="00C224F7">
        <w:rPr>
          <w:rFonts w:ascii="Arial" w:eastAsia="Times New Roman" w:hAnsi="Arial" w:cs="Arial"/>
        </w:rPr>
        <w:t xml:space="preserve">on all facilities </w:t>
      </w:r>
      <w:r w:rsidR="00BB0E6B" w:rsidRPr="00C224F7">
        <w:rPr>
          <w:rFonts w:ascii="Arial" w:eastAsia="Times New Roman" w:hAnsi="Arial" w:cs="Arial"/>
        </w:rPr>
        <w:t>should be the highest priority for selecting projects</w:t>
      </w:r>
      <w:r w:rsidR="000C4A24" w:rsidRPr="00C224F7">
        <w:rPr>
          <w:rFonts w:ascii="Arial" w:eastAsia="Times New Roman" w:hAnsi="Arial" w:cs="Arial"/>
        </w:rPr>
        <w:t>.  Recognizing this</w:t>
      </w:r>
      <w:r w:rsidR="00BB0E6B" w:rsidRPr="00C224F7">
        <w:rPr>
          <w:rFonts w:ascii="Arial" w:eastAsia="Times New Roman" w:hAnsi="Arial" w:cs="Arial"/>
        </w:rPr>
        <w:t xml:space="preserve">, </w:t>
      </w:r>
      <w:r w:rsidR="000C4A24" w:rsidRPr="00C224F7">
        <w:rPr>
          <w:rFonts w:ascii="Arial" w:eastAsia="Times New Roman" w:hAnsi="Arial" w:cs="Arial"/>
        </w:rPr>
        <w:t xml:space="preserve">we believe that </w:t>
      </w:r>
      <w:proofErr w:type="gramStart"/>
      <w:r w:rsidR="000C4A24" w:rsidRPr="00C224F7">
        <w:rPr>
          <w:rFonts w:ascii="Arial" w:eastAsia="Times New Roman" w:hAnsi="Arial" w:cs="Arial"/>
        </w:rPr>
        <w:t>this criteria</w:t>
      </w:r>
      <w:proofErr w:type="gramEnd"/>
      <w:r w:rsidRPr="00C224F7">
        <w:rPr>
          <w:rFonts w:ascii="Arial" w:eastAsia="Times New Roman" w:hAnsi="Arial" w:cs="Arial"/>
        </w:rPr>
        <w:t xml:space="preserve"> should be weighted to </w:t>
      </w:r>
      <w:r w:rsidR="000C4A24" w:rsidRPr="00C224F7">
        <w:rPr>
          <w:rFonts w:ascii="Arial" w:eastAsia="Times New Roman" w:hAnsi="Arial" w:cs="Arial"/>
        </w:rPr>
        <w:t>ensure that critical safety projects receive appropriate scores in evaluation for ITIP programming</w:t>
      </w:r>
      <w:r w:rsidR="00BB0E6B" w:rsidRPr="00C224F7">
        <w:rPr>
          <w:rFonts w:ascii="Arial" w:eastAsia="Times New Roman" w:hAnsi="Arial" w:cs="Arial"/>
        </w:rPr>
        <w:t xml:space="preserve">. </w:t>
      </w:r>
      <w:r w:rsidR="00BB0E6B" w:rsidRPr="00C224F7">
        <w:rPr>
          <w:rFonts w:ascii="Arial" w:hAnsi="Arial" w:cs="Arial"/>
        </w:rPr>
        <w:t>According to data from the National Highway Traffic Safety Administration, in 2015, the fatality rate per 100 million vehicle miles traveled was 2.6 times higher in rural areas than in urban areas. Although only eight percent of California’s residents live in rural areas, 43</w:t>
      </w:r>
      <w:r w:rsidR="00DB2FDE">
        <w:rPr>
          <w:rFonts w:ascii="Arial" w:hAnsi="Arial" w:cs="Arial"/>
        </w:rPr>
        <w:t xml:space="preserve">% </w:t>
      </w:r>
      <w:r w:rsidR="00BB0E6B" w:rsidRPr="00C224F7">
        <w:rPr>
          <w:rFonts w:ascii="Arial" w:hAnsi="Arial" w:cs="Arial"/>
        </w:rPr>
        <w:t xml:space="preserve">of all traffic fatalities occur on rural highways. As presented in the ITSP, safety is rated on par with 14 other criteria and does not receive the weighting appropriate for </w:t>
      </w:r>
      <w:proofErr w:type="gramStart"/>
      <w:r w:rsidR="00BB0E6B" w:rsidRPr="00C224F7">
        <w:rPr>
          <w:rFonts w:ascii="Arial" w:hAnsi="Arial" w:cs="Arial"/>
        </w:rPr>
        <w:t>this criteria</w:t>
      </w:r>
      <w:proofErr w:type="gramEnd"/>
      <w:r w:rsidR="00BB0E6B" w:rsidRPr="00C224F7">
        <w:rPr>
          <w:rFonts w:ascii="Arial" w:hAnsi="Arial" w:cs="Arial"/>
        </w:rPr>
        <w:t xml:space="preserve">.  </w:t>
      </w:r>
    </w:p>
    <w:p w14:paraId="7720B66B" w14:textId="2C4104EB" w:rsidR="00C224F7" w:rsidRPr="00C224F7" w:rsidRDefault="00C224F7" w:rsidP="00C224F7">
      <w:pPr>
        <w:rPr>
          <w:rFonts w:ascii="Arial" w:hAnsi="Arial" w:cs="Arial"/>
          <w:sz w:val="22"/>
          <w:szCs w:val="22"/>
        </w:rPr>
      </w:pPr>
    </w:p>
    <w:p w14:paraId="542912CE" w14:textId="448E0F80" w:rsidR="00C224F7" w:rsidRPr="00C224F7" w:rsidRDefault="00C224F7" w:rsidP="00C224F7">
      <w:pPr>
        <w:spacing w:line="240" w:lineRule="exact"/>
        <w:jc w:val="both"/>
        <w:rPr>
          <w:rFonts w:ascii="Arial" w:hAnsi="Arial" w:cs="Arial"/>
          <w:i/>
          <w:iCs/>
          <w:sz w:val="22"/>
          <w:szCs w:val="22"/>
        </w:rPr>
      </w:pPr>
      <w:r w:rsidRPr="00C224F7">
        <w:rPr>
          <w:rFonts w:ascii="Arial" w:hAnsi="Arial" w:cs="Arial"/>
          <w:i/>
          <w:iCs/>
          <w:sz w:val="22"/>
          <w:szCs w:val="22"/>
        </w:rPr>
        <w:t>Criteria: Does the project innovatively and/or strategically improve an emergency evacuation route identified in an emergency plan/hazard mitigation plan that is supported by state/local emergency services?</w:t>
      </w:r>
    </w:p>
    <w:p w14:paraId="46C3400D" w14:textId="77777777" w:rsidR="00C224F7" w:rsidRPr="00C224F7" w:rsidRDefault="00C224F7" w:rsidP="00C224F7">
      <w:pPr>
        <w:spacing w:line="240" w:lineRule="exact"/>
        <w:jc w:val="both"/>
        <w:rPr>
          <w:rFonts w:ascii="Arial" w:hAnsi="Arial" w:cs="Arial"/>
          <w:i/>
          <w:iCs/>
          <w:sz w:val="22"/>
          <w:szCs w:val="22"/>
        </w:rPr>
      </w:pPr>
    </w:p>
    <w:p w14:paraId="4B7D1D0C" w14:textId="47F283AE" w:rsidR="00C224F7" w:rsidRPr="00C224F7" w:rsidRDefault="00403E8F" w:rsidP="00C224F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w:hAnsi="Arial" w:cs="Arial"/>
          <w:i/>
          <w:iCs/>
          <w:sz w:val="22"/>
          <w:szCs w:val="22"/>
        </w:rPr>
      </w:pPr>
      <w:r>
        <w:rPr>
          <w:rFonts w:ascii="Arial" w:hAnsi="Arial" w:cs="Arial"/>
          <w:sz w:val="22"/>
          <w:szCs w:val="22"/>
        </w:rPr>
        <w:t xml:space="preserve">As fires rage across California this very moment, we understand all too well how </w:t>
      </w:r>
      <w:r w:rsidR="00C224F7">
        <w:rPr>
          <w:rFonts w:ascii="Arial" w:hAnsi="Arial" w:cs="Arial"/>
          <w:sz w:val="22"/>
          <w:szCs w:val="22"/>
        </w:rPr>
        <w:t>wildfire continues to increase in severity and frequency across rural California.</w:t>
      </w:r>
      <w:r w:rsidR="00DB2FDE">
        <w:rPr>
          <w:rFonts w:ascii="Arial" w:hAnsi="Arial" w:cs="Arial"/>
          <w:sz w:val="22"/>
          <w:szCs w:val="22"/>
        </w:rPr>
        <w:t xml:space="preserve"> </w:t>
      </w:r>
      <w:r w:rsidR="00C224F7">
        <w:rPr>
          <w:rFonts w:ascii="Arial" w:hAnsi="Arial" w:cs="Arial"/>
          <w:sz w:val="22"/>
          <w:szCs w:val="22"/>
        </w:rPr>
        <w:t xml:space="preserve">Wildfire threat has become the new “norm” for rural </w:t>
      </w:r>
      <w:r>
        <w:rPr>
          <w:rFonts w:ascii="Arial" w:hAnsi="Arial" w:cs="Arial"/>
          <w:sz w:val="22"/>
          <w:szCs w:val="22"/>
        </w:rPr>
        <w:t>Californians</w:t>
      </w:r>
      <w:r w:rsidR="00C224F7">
        <w:rPr>
          <w:rFonts w:ascii="Arial" w:hAnsi="Arial" w:cs="Arial"/>
          <w:sz w:val="22"/>
          <w:szCs w:val="22"/>
        </w:rPr>
        <w:t xml:space="preserve"> </w:t>
      </w:r>
      <w:r>
        <w:rPr>
          <w:rFonts w:ascii="Arial" w:hAnsi="Arial" w:cs="Arial"/>
          <w:sz w:val="22"/>
          <w:szCs w:val="22"/>
        </w:rPr>
        <w:t xml:space="preserve">seeing an </w:t>
      </w:r>
      <w:r w:rsidR="00C224F7">
        <w:rPr>
          <w:rFonts w:ascii="Arial" w:hAnsi="Arial" w:cs="Arial"/>
          <w:sz w:val="22"/>
          <w:szCs w:val="22"/>
        </w:rPr>
        <w:t>increase in the duration of the season</w:t>
      </w:r>
      <w:r w:rsidR="00C224F7" w:rsidRPr="00C224F7">
        <w:rPr>
          <w:rFonts w:ascii="Arial" w:hAnsi="Arial" w:cs="Arial"/>
          <w:sz w:val="22"/>
          <w:szCs w:val="22"/>
        </w:rPr>
        <w:t xml:space="preserve"> and number of wildfires, as well as acres burned across California</w:t>
      </w:r>
      <w:r w:rsidR="00C224F7">
        <w:rPr>
          <w:rFonts w:ascii="Arial" w:hAnsi="Arial" w:cs="Arial"/>
          <w:sz w:val="22"/>
          <w:szCs w:val="22"/>
        </w:rPr>
        <w:t>.</w:t>
      </w:r>
      <w:r w:rsidR="00DB2FDE">
        <w:rPr>
          <w:rFonts w:ascii="Arial" w:hAnsi="Arial" w:cs="Arial"/>
          <w:sz w:val="22"/>
          <w:szCs w:val="22"/>
        </w:rPr>
        <w:t xml:space="preserve"> </w:t>
      </w:r>
      <w:r w:rsidR="00C224F7">
        <w:rPr>
          <w:rFonts w:ascii="Arial" w:hAnsi="Arial" w:cs="Arial"/>
          <w:sz w:val="22"/>
          <w:szCs w:val="22"/>
        </w:rPr>
        <w:t>Consequently,</w:t>
      </w:r>
      <w:r w:rsidR="00C224F7" w:rsidRPr="00C224F7">
        <w:rPr>
          <w:rFonts w:ascii="Arial" w:hAnsi="Arial" w:cs="Arial"/>
          <w:sz w:val="22"/>
          <w:szCs w:val="22"/>
        </w:rPr>
        <w:t xml:space="preserve"> </w:t>
      </w:r>
      <w:r w:rsidR="00C224F7">
        <w:rPr>
          <w:rFonts w:ascii="Arial" w:hAnsi="Arial" w:cs="Arial"/>
          <w:sz w:val="22"/>
          <w:szCs w:val="22"/>
        </w:rPr>
        <w:t xml:space="preserve">evacuation planning and </w:t>
      </w:r>
      <w:r>
        <w:rPr>
          <w:rFonts w:ascii="Arial" w:hAnsi="Arial" w:cs="Arial"/>
          <w:sz w:val="22"/>
          <w:szCs w:val="22"/>
        </w:rPr>
        <w:t xml:space="preserve">the </w:t>
      </w:r>
      <w:r w:rsidR="00C224F7">
        <w:rPr>
          <w:rFonts w:ascii="Arial" w:hAnsi="Arial" w:cs="Arial"/>
          <w:sz w:val="22"/>
          <w:szCs w:val="22"/>
        </w:rPr>
        <w:t>supporting infrastructure</w:t>
      </w:r>
      <w:r w:rsidR="00C224F7" w:rsidRPr="00C224F7">
        <w:rPr>
          <w:rFonts w:ascii="Arial" w:hAnsi="Arial" w:cs="Arial"/>
          <w:sz w:val="22"/>
          <w:szCs w:val="22"/>
        </w:rPr>
        <w:t xml:space="preserve"> should </w:t>
      </w:r>
      <w:r w:rsidR="00C224F7">
        <w:rPr>
          <w:rFonts w:ascii="Arial" w:hAnsi="Arial" w:cs="Arial"/>
          <w:sz w:val="22"/>
          <w:szCs w:val="22"/>
        </w:rPr>
        <w:t>b</w:t>
      </w:r>
      <w:r>
        <w:rPr>
          <w:rFonts w:ascii="Arial" w:hAnsi="Arial" w:cs="Arial"/>
          <w:sz w:val="22"/>
          <w:szCs w:val="22"/>
        </w:rPr>
        <w:t xml:space="preserve">e given a </w:t>
      </w:r>
      <w:r w:rsidRPr="00DB2FDE">
        <w:rPr>
          <w:rFonts w:ascii="Arial" w:hAnsi="Arial" w:cs="Arial"/>
          <w:sz w:val="22"/>
          <w:szCs w:val="22"/>
        </w:rPr>
        <w:t xml:space="preserve">great </w:t>
      </w:r>
      <w:r w:rsidR="00DB2FDE" w:rsidRPr="00DB2FDE">
        <w:rPr>
          <w:rFonts w:ascii="Arial" w:hAnsi="Arial" w:cs="Arial"/>
          <w:sz w:val="22"/>
          <w:szCs w:val="22"/>
        </w:rPr>
        <w:t xml:space="preserve">deal </w:t>
      </w:r>
      <w:r w:rsidRPr="00DB2FDE">
        <w:rPr>
          <w:rFonts w:ascii="Arial" w:hAnsi="Arial" w:cs="Arial"/>
          <w:sz w:val="22"/>
          <w:szCs w:val="22"/>
        </w:rPr>
        <w:t>of focus</w:t>
      </w:r>
      <w:r>
        <w:rPr>
          <w:rFonts w:ascii="Arial" w:hAnsi="Arial" w:cs="Arial"/>
          <w:sz w:val="22"/>
          <w:szCs w:val="22"/>
        </w:rPr>
        <w:t xml:space="preserve"> when considering the </w:t>
      </w:r>
      <w:r w:rsidR="00C224F7" w:rsidRPr="00C224F7">
        <w:rPr>
          <w:rFonts w:ascii="Arial" w:hAnsi="Arial" w:cs="Arial"/>
          <w:sz w:val="22"/>
          <w:szCs w:val="22"/>
        </w:rPr>
        <w:t>interregional corridors</w:t>
      </w:r>
      <w:r>
        <w:rPr>
          <w:rFonts w:ascii="Arial" w:hAnsi="Arial" w:cs="Arial"/>
          <w:sz w:val="22"/>
          <w:szCs w:val="22"/>
        </w:rPr>
        <w:t xml:space="preserve"> and their important role toward wildfire adaptation and resiliency of our rural communities</w:t>
      </w:r>
      <w:r w:rsidR="00C224F7" w:rsidRPr="00C224F7">
        <w:rPr>
          <w:rFonts w:ascii="Arial" w:hAnsi="Arial" w:cs="Arial"/>
          <w:sz w:val="22"/>
          <w:szCs w:val="22"/>
        </w:rPr>
        <w:t xml:space="preserve">. </w:t>
      </w:r>
      <w:r w:rsidR="00C224F7">
        <w:rPr>
          <w:rFonts w:ascii="Arial" w:hAnsi="Arial" w:cs="Arial"/>
          <w:sz w:val="22"/>
          <w:szCs w:val="22"/>
        </w:rPr>
        <w:t>Rural</w:t>
      </w:r>
      <w:r w:rsidR="00C224F7" w:rsidRPr="00C224F7">
        <w:rPr>
          <w:rFonts w:ascii="Arial" w:hAnsi="Arial" w:cs="Arial"/>
          <w:sz w:val="22"/>
          <w:szCs w:val="22"/>
        </w:rPr>
        <w:t xml:space="preserve"> State Highways</w:t>
      </w:r>
      <w:r w:rsidR="00C224F7">
        <w:rPr>
          <w:rFonts w:ascii="Arial" w:hAnsi="Arial" w:cs="Arial"/>
          <w:sz w:val="22"/>
          <w:szCs w:val="22"/>
        </w:rPr>
        <w:t>, interregional routes,</w:t>
      </w:r>
      <w:r w:rsidR="00C224F7" w:rsidRPr="00C224F7">
        <w:rPr>
          <w:rFonts w:ascii="Arial" w:hAnsi="Arial" w:cs="Arial"/>
          <w:sz w:val="22"/>
          <w:szCs w:val="22"/>
        </w:rPr>
        <w:t xml:space="preserve"> and principal arterials are typically the </w:t>
      </w:r>
      <w:r w:rsidR="00C224F7">
        <w:rPr>
          <w:rFonts w:ascii="Arial" w:hAnsi="Arial" w:cs="Arial"/>
          <w:sz w:val="22"/>
          <w:szCs w:val="22"/>
        </w:rPr>
        <w:t>only</w:t>
      </w:r>
      <w:r w:rsidR="00C224F7" w:rsidRPr="00C224F7">
        <w:rPr>
          <w:rFonts w:ascii="Arial" w:hAnsi="Arial" w:cs="Arial"/>
          <w:sz w:val="22"/>
          <w:szCs w:val="22"/>
        </w:rPr>
        <w:t xml:space="preserve"> evacuation </w:t>
      </w:r>
      <w:r w:rsidR="00C224F7">
        <w:rPr>
          <w:rFonts w:ascii="Arial" w:hAnsi="Arial" w:cs="Arial"/>
          <w:sz w:val="22"/>
          <w:szCs w:val="22"/>
        </w:rPr>
        <w:t>routes for</w:t>
      </w:r>
      <w:r>
        <w:rPr>
          <w:rFonts w:ascii="Arial" w:hAnsi="Arial" w:cs="Arial"/>
          <w:sz w:val="22"/>
          <w:szCs w:val="22"/>
        </w:rPr>
        <w:t xml:space="preserve"> many</w:t>
      </w:r>
      <w:r w:rsidR="00C224F7">
        <w:rPr>
          <w:rFonts w:ascii="Arial" w:hAnsi="Arial" w:cs="Arial"/>
          <w:sz w:val="22"/>
          <w:szCs w:val="22"/>
        </w:rPr>
        <w:t xml:space="preserve"> rural communities</w:t>
      </w:r>
      <w:r w:rsidR="00C224F7" w:rsidRPr="00C224F7">
        <w:rPr>
          <w:rFonts w:ascii="Arial" w:hAnsi="Arial" w:cs="Arial"/>
          <w:sz w:val="22"/>
          <w:szCs w:val="22"/>
        </w:rPr>
        <w:t xml:space="preserve">. </w:t>
      </w:r>
      <w:r w:rsidR="00C224F7">
        <w:rPr>
          <w:rFonts w:ascii="Arial" w:hAnsi="Arial" w:cs="Arial"/>
          <w:sz w:val="22"/>
          <w:szCs w:val="22"/>
        </w:rPr>
        <w:t xml:space="preserve">Investing in these rural state evacuation routes should </w:t>
      </w:r>
      <w:r>
        <w:rPr>
          <w:rFonts w:ascii="Arial" w:hAnsi="Arial" w:cs="Arial"/>
          <w:sz w:val="22"/>
          <w:szCs w:val="22"/>
        </w:rPr>
        <w:t>be</w:t>
      </w:r>
      <w:r w:rsidR="00C224F7">
        <w:rPr>
          <w:rFonts w:ascii="Arial" w:hAnsi="Arial" w:cs="Arial"/>
          <w:sz w:val="22"/>
          <w:szCs w:val="22"/>
        </w:rPr>
        <w:t xml:space="preserve"> a</w:t>
      </w:r>
      <w:r>
        <w:rPr>
          <w:rFonts w:ascii="Arial" w:hAnsi="Arial" w:cs="Arial"/>
          <w:sz w:val="22"/>
          <w:szCs w:val="22"/>
        </w:rPr>
        <w:t>n immediate</w:t>
      </w:r>
      <w:r w:rsidR="00C224F7">
        <w:rPr>
          <w:rFonts w:ascii="Arial" w:hAnsi="Arial" w:cs="Arial"/>
          <w:sz w:val="22"/>
          <w:szCs w:val="22"/>
        </w:rPr>
        <w:t xml:space="preserve"> focus of the ITSP strategies </w:t>
      </w:r>
      <w:r>
        <w:rPr>
          <w:rFonts w:ascii="Arial" w:hAnsi="Arial" w:cs="Arial"/>
          <w:sz w:val="22"/>
          <w:szCs w:val="22"/>
        </w:rPr>
        <w:t>now and long into the future</w:t>
      </w:r>
      <w:r w:rsidR="00C224F7">
        <w:rPr>
          <w:rFonts w:ascii="Arial" w:hAnsi="Arial" w:cs="Arial"/>
          <w:sz w:val="22"/>
          <w:szCs w:val="22"/>
        </w:rPr>
        <w:t xml:space="preserve"> as this threat to life, infrastructure, and communities</w:t>
      </w:r>
      <w:r>
        <w:rPr>
          <w:rFonts w:ascii="Arial" w:hAnsi="Arial" w:cs="Arial"/>
          <w:sz w:val="22"/>
          <w:szCs w:val="22"/>
        </w:rPr>
        <w:t xml:space="preserve"> is only growing more severe. </w:t>
      </w:r>
    </w:p>
    <w:p w14:paraId="55666477" w14:textId="77777777" w:rsidR="00C224F7" w:rsidRPr="00C224F7" w:rsidRDefault="00C224F7" w:rsidP="00C224F7">
      <w:pPr>
        <w:rPr>
          <w:rFonts w:ascii="Arial" w:hAnsi="Arial" w:cs="Arial"/>
          <w:sz w:val="22"/>
          <w:szCs w:val="22"/>
        </w:rPr>
      </w:pPr>
    </w:p>
    <w:p w14:paraId="05C13B49" w14:textId="5E9FF557" w:rsidR="00BB0E6B" w:rsidRPr="00C224F7" w:rsidRDefault="00BB0E6B" w:rsidP="0010059F">
      <w:pPr>
        <w:jc w:val="both"/>
        <w:rPr>
          <w:rFonts w:ascii="Arial" w:hAnsi="Arial" w:cs="Arial"/>
          <w:sz w:val="22"/>
          <w:szCs w:val="22"/>
        </w:rPr>
      </w:pPr>
      <w:r w:rsidRPr="00C224F7">
        <w:rPr>
          <w:rFonts w:ascii="Arial" w:hAnsi="Arial" w:cs="Arial"/>
          <w:sz w:val="22"/>
          <w:szCs w:val="22"/>
        </w:rPr>
        <w:lastRenderedPageBreak/>
        <w:t xml:space="preserve">Thank you </w:t>
      </w:r>
      <w:r w:rsidR="00267F79" w:rsidRPr="00C224F7">
        <w:rPr>
          <w:rFonts w:ascii="Arial" w:hAnsi="Arial" w:cs="Arial"/>
          <w:sz w:val="22"/>
          <w:szCs w:val="22"/>
        </w:rPr>
        <w:t xml:space="preserve">again </w:t>
      </w:r>
      <w:r w:rsidRPr="00C224F7">
        <w:rPr>
          <w:rFonts w:ascii="Arial" w:hAnsi="Arial" w:cs="Arial"/>
          <w:sz w:val="22"/>
          <w:szCs w:val="22"/>
        </w:rPr>
        <w:t xml:space="preserve">for the opportunity to provide input on the Draft ITSP. </w:t>
      </w:r>
      <w:r w:rsidR="00267F79" w:rsidRPr="00C224F7">
        <w:rPr>
          <w:rFonts w:ascii="Arial" w:eastAsia="Times New Roman" w:hAnsi="Arial" w:cs="Arial"/>
          <w:sz w:val="22"/>
          <w:szCs w:val="22"/>
        </w:rPr>
        <w:t xml:space="preserve">We look forward to continued participation in the process to ensure that the final ITSP equitably serves all of all California’s diverse </w:t>
      </w:r>
      <w:r w:rsidR="008C6C53" w:rsidRPr="00C224F7">
        <w:rPr>
          <w:rFonts w:ascii="Arial" w:eastAsia="Times New Roman" w:hAnsi="Arial" w:cs="Arial"/>
          <w:sz w:val="22"/>
          <w:szCs w:val="22"/>
        </w:rPr>
        <w:t>regions.</w:t>
      </w:r>
    </w:p>
    <w:p w14:paraId="3874319C" w14:textId="063A71F0" w:rsidR="00267F79" w:rsidRPr="00C224F7" w:rsidRDefault="00267F79" w:rsidP="0010059F">
      <w:pPr>
        <w:pStyle w:val="NoSpacing"/>
        <w:jc w:val="both"/>
        <w:rPr>
          <w:rFonts w:ascii="Arial" w:hAnsi="Arial" w:cs="Arial"/>
        </w:rPr>
      </w:pPr>
    </w:p>
    <w:p w14:paraId="36C05A8A" w14:textId="77777777" w:rsidR="00085B4E" w:rsidRPr="00C224F7" w:rsidRDefault="00085B4E" w:rsidP="00085B4E">
      <w:pPr>
        <w:spacing w:line="240" w:lineRule="exact"/>
        <w:jc w:val="both"/>
        <w:rPr>
          <w:rFonts w:ascii="Arial" w:hAnsi="Arial" w:cs="Arial"/>
          <w:sz w:val="22"/>
          <w:szCs w:val="22"/>
        </w:rPr>
      </w:pPr>
      <w:r w:rsidRPr="00C224F7">
        <w:rPr>
          <w:rFonts w:ascii="Arial" w:hAnsi="Arial" w:cs="Arial"/>
          <w:sz w:val="22"/>
          <w:szCs w:val="22"/>
        </w:rPr>
        <w:t>Sincerely,</w:t>
      </w:r>
    </w:p>
    <w:p w14:paraId="7269D92B" w14:textId="77777777" w:rsidR="00403E8F" w:rsidRDefault="00403E8F" w:rsidP="00085B4E">
      <w:pPr>
        <w:rPr>
          <w:rFonts w:ascii="Arial" w:hAnsi="Arial" w:cs="Arial"/>
          <w:sz w:val="22"/>
          <w:szCs w:val="22"/>
        </w:rPr>
      </w:pPr>
    </w:p>
    <w:p w14:paraId="328FBE37" w14:textId="77777777" w:rsidR="00403E8F" w:rsidRDefault="00403E8F" w:rsidP="00085B4E">
      <w:pPr>
        <w:rPr>
          <w:rFonts w:ascii="Arial" w:hAnsi="Arial" w:cs="Arial"/>
          <w:sz w:val="22"/>
          <w:szCs w:val="22"/>
        </w:rPr>
      </w:pPr>
    </w:p>
    <w:p w14:paraId="250ECDBC" w14:textId="77777777" w:rsidR="00403E8F" w:rsidRDefault="00403E8F" w:rsidP="00085B4E">
      <w:pPr>
        <w:rPr>
          <w:rFonts w:ascii="Arial" w:hAnsi="Arial" w:cs="Arial"/>
          <w:sz w:val="22"/>
          <w:szCs w:val="22"/>
        </w:rPr>
      </w:pPr>
    </w:p>
    <w:p w14:paraId="151F5FED" w14:textId="4F810E4F" w:rsidR="00085B4E" w:rsidRPr="00C224F7" w:rsidRDefault="00085B4E" w:rsidP="00085B4E">
      <w:pPr>
        <w:rPr>
          <w:rFonts w:ascii="Arial" w:hAnsi="Arial" w:cs="Arial"/>
          <w:sz w:val="22"/>
          <w:szCs w:val="22"/>
        </w:rPr>
      </w:pPr>
      <w:r w:rsidRPr="00C224F7">
        <w:rPr>
          <w:rFonts w:ascii="Arial" w:hAnsi="Arial" w:cs="Arial"/>
          <w:sz w:val="22"/>
          <w:szCs w:val="22"/>
        </w:rPr>
        <w:t>Woodrow Deloria, Executive Director</w:t>
      </w:r>
    </w:p>
    <w:p w14:paraId="6FAFC5CF" w14:textId="2429E027" w:rsidR="00085B4E" w:rsidRPr="00C224F7" w:rsidRDefault="00085B4E" w:rsidP="00085B4E">
      <w:pPr>
        <w:rPr>
          <w:rFonts w:ascii="Arial" w:hAnsi="Arial" w:cs="Arial"/>
          <w:sz w:val="22"/>
          <w:szCs w:val="22"/>
        </w:rPr>
      </w:pPr>
      <w:r w:rsidRPr="00C224F7">
        <w:rPr>
          <w:rFonts w:ascii="Arial" w:hAnsi="Arial" w:cs="Arial"/>
          <w:sz w:val="22"/>
          <w:szCs w:val="22"/>
        </w:rPr>
        <w:t>El Dorado County Transportation Commission</w:t>
      </w:r>
    </w:p>
    <w:p w14:paraId="454497AD" w14:textId="77906BEC" w:rsidR="00085B4E" w:rsidRPr="00C224F7" w:rsidRDefault="00085B4E" w:rsidP="00085B4E">
      <w:pPr>
        <w:rPr>
          <w:rFonts w:ascii="Arial" w:hAnsi="Arial" w:cs="Arial"/>
          <w:sz w:val="22"/>
          <w:szCs w:val="22"/>
        </w:rPr>
      </w:pPr>
      <w:r w:rsidRPr="00C224F7">
        <w:rPr>
          <w:rFonts w:ascii="Arial" w:hAnsi="Arial" w:cs="Arial"/>
          <w:sz w:val="22"/>
          <w:szCs w:val="22"/>
        </w:rPr>
        <w:t>Chair, Rural Counties Task Force</w:t>
      </w:r>
    </w:p>
    <w:p w14:paraId="737B9CE3" w14:textId="77777777" w:rsidR="00085B4E" w:rsidRPr="00C224F7" w:rsidRDefault="00085B4E" w:rsidP="00085B4E">
      <w:pPr>
        <w:rPr>
          <w:rFonts w:ascii="Arial" w:hAnsi="Arial" w:cs="Arial"/>
          <w:sz w:val="22"/>
          <w:szCs w:val="22"/>
        </w:rPr>
      </w:pPr>
    </w:p>
    <w:p w14:paraId="683EB6E2" w14:textId="77777777" w:rsidR="00085B4E" w:rsidRPr="00C224F7" w:rsidRDefault="00085B4E" w:rsidP="00085B4E">
      <w:pPr>
        <w:rPr>
          <w:rFonts w:ascii="Arial" w:hAnsi="Arial" w:cs="Arial"/>
          <w:sz w:val="22"/>
          <w:szCs w:val="22"/>
        </w:rPr>
      </w:pPr>
      <w:r w:rsidRPr="00C224F7">
        <w:rPr>
          <w:rFonts w:ascii="Arial" w:hAnsi="Arial" w:cs="Arial"/>
          <w:sz w:val="22"/>
          <w:szCs w:val="22"/>
        </w:rPr>
        <w:t>Cc:</w:t>
      </w:r>
      <w:r w:rsidRPr="00C224F7">
        <w:rPr>
          <w:rFonts w:ascii="Arial" w:hAnsi="Arial" w:cs="Arial"/>
          <w:sz w:val="22"/>
          <w:szCs w:val="22"/>
        </w:rPr>
        <w:tab/>
        <w:t>David Kim, Secretary, California State Transportation Agency</w:t>
      </w:r>
    </w:p>
    <w:p w14:paraId="48FAF735"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Toks </w:t>
      </w:r>
      <w:proofErr w:type="spellStart"/>
      <w:r w:rsidRPr="00C224F7">
        <w:rPr>
          <w:rFonts w:ascii="Arial" w:hAnsi="Arial" w:cs="Arial"/>
          <w:sz w:val="22"/>
          <w:szCs w:val="22"/>
        </w:rPr>
        <w:t>Omishakin</w:t>
      </w:r>
      <w:proofErr w:type="spellEnd"/>
      <w:r w:rsidRPr="00C224F7">
        <w:rPr>
          <w:rFonts w:ascii="Arial" w:hAnsi="Arial" w:cs="Arial"/>
          <w:sz w:val="22"/>
          <w:szCs w:val="22"/>
        </w:rPr>
        <w:t xml:space="preserve">, Director, Caltrans </w:t>
      </w:r>
    </w:p>
    <w:p w14:paraId="5EEA96CD" w14:textId="77777777" w:rsidR="00085B4E" w:rsidRPr="00C224F7" w:rsidRDefault="00085B4E" w:rsidP="00085B4E">
      <w:pPr>
        <w:rPr>
          <w:rFonts w:ascii="Arial" w:hAnsi="Arial" w:cs="Arial"/>
          <w:sz w:val="22"/>
          <w:szCs w:val="22"/>
        </w:rPr>
      </w:pPr>
      <w:r w:rsidRPr="00C224F7">
        <w:rPr>
          <w:rFonts w:ascii="Arial" w:hAnsi="Arial" w:cs="Arial"/>
          <w:sz w:val="22"/>
          <w:szCs w:val="22"/>
        </w:rPr>
        <w:tab/>
        <w:t>Amarjeet Benipal, Director, Caltrans District 3</w:t>
      </w:r>
    </w:p>
    <w:p w14:paraId="68A81B8C"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Hilary Norton, Chair, California Transportation Commission </w:t>
      </w:r>
    </w:p>
    <w:p w14:paraId="1435CB57"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Mitch Weiss, Executive Director, California Transportation Commission </w:t>
      </w:r>
    </w:p>
    <w:p w14:paraId="6EC67749"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Ronda Paschal, Deputy Legislative Secretary, Office of Governor Gavin Newsom </w:t>
      </w:r>
    </w:p>
    <w:p w14:paraId="4EDB0B94"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Mark Tollefson, Deputy Cabinet Secretary, Office of Governor Gavin Newsom </w:t>
      </w:r>
    </w:p>
    <w:p w14:paraId="44580182"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James Barba, Consultant, Office of Senate President pro Tempore Atkins </w:t>
      </w:r>
    </w:p>
    <w:p w14:paraId="7F3EC2C5"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Julius McIntyre, Consultant, Office of Assembly Speaker Rendon </w:t>
      </w:r>
    </w:p>
    <w:p w14:paraId="25C30B03"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Heather Wood, Consultant, Senate Republican Caucus </w:t>
      </w:r>
    </w:p>
    <w:p w14:paraId="468A26EA" w14:textId="77777777" w:rsidR="00085B4E" w:rsidRPr="00C224F7" w:rsidRDefault="00085B4E" w:rsidP="00085B4E">
      <w:pPr>
        <w:ind w:firstLine="720"/>
        <w:rPr>
          <w:rFonts w:ascii="Arial" w:hAnsi="Arial" w:cs="Arial"/>
          <w:sz w:val="22"/>
          <w:szCs w:val="22"/>
        </w:rPr>
      </w:pPr>
      <w:r w:rsidRPr="00C224F7">
        <w:rPr>
          <w:rFonts w:ascii="Arial" w:hAnsi="Arial" w:cs="Arial"/>
          <w:sz w:val="22"/>
          <w:szCs w:val="22"/>
        </w:rPr>
        <w:t xml:space="preserve">Daniel </w:t>
      </w:r>
      <w:proofErr w:type="spellStart"/>
      <w:r w:rsidRPr="00C224F7">
        <w:rPr>
          <w:rFonts w:ascii="Arial" w:hAnsi="Arial" w:cs="Arial"/>
          <w:sz w:val="22"/>
          <w:szCs w:val="22"/>
        </w:rPr>
        <w:t>Ballon</w:t>
      </w:r>
      <w:proofErr w:type="spellEnd"/>
      <w:r w:rsidRPr="00C224F7">
        <w:rPr>
          <w:rFonts w:ascii="Arial" w:hAnsi="Arial" w:cs="Arial"/>
          <w:sz w:val="22"/>
          <w:szCs w:val="22"/>
        </w:rPr>
        <w:t>, Consultant, Assembly Republican Caucus</w:t>
      </w:r>
    </w:p>
    <w:p w14:paraId="26A4C481" w14:textId="77777777" w:rsidR="007D65B3" w:rsidRPr="00C224F7" w:rsidRDefault="007D65B3" w:rsidP="00085B4E">
      <w:pPr>
        <w:pStyle w:val="Default"/>
        <w:rPr>
          <w:rFonts w:cs="Arial"/>
          <w:sz w:val="22"/>
          <w:szCs w:val="22"/>
        </w:rPr>
      </w:pPr>
    </w:p>
    <w:sectPr w:rsidR="007D65B3" w:rsidRPr="00C224F7" w:rsidSect="00460862">
      <w:headerReference w:type="default" r:id="rId8"/>
      <w:pgSz w:w="12240" w:h="15840"/>
      <w:pgMar w:top="720" w:right="1152" w:bottom="720" w:left="1152"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61E8" w14:textId="77777777" w:rsidR="00FB1111" w:rsidRDefault="00FB1111">
      <w:r>
        <w:separator/>
      </w:r>
    </w:p>
  </w:endnote>
  <w:endnote w:type="continuationSeparator" w:id="0">
    <w:p w14:paraId="182DC4B3" w14:textId="77777777" w:rsidR="00FB1111" w:rsidRDefault="00FB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4F3C" w14:textId="77777777" w:rsidR="00FB1111" w:rsidRDefault="00FB1111">
      <w:r>
        <w:separator/>
      </w:r>
    </w:p>
  </w:footnote>
  <w:footnote w:type="continuationSeparator" w:id="0">
    <w:p w14:paraId="2EB2BB12" w14:textId="77777777" w:rsidR="00FB1111" w:rsidRDefault="00FB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2AB4" w14:textId="22BAD729" w:rsidR="007D65B3" w:rsidRDefault="007D65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965"/>
    <w:multiLevelType w:val="hybridMultilevel"/>
    <w:tmpl w:val="96EA2A8C"/>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18595380"/>
    <w:multiLevelType w:val="hybridMultilevel"/>
    <w:tmpl w:val="5EE4DB70"/>
    <w:lvl w:ilvl="0" w:tplc="0409000F">
      <w:start w:val="1"/>
      <w:numFmt w:val="decimal"/>
      <w:lvlText w:val="%1."/>
      <w:lvlJc w:val="left"/>
      <w:pPr>
        <w:ind w:left="1547" w:hanging="360"/>
      </w:pPr>
      <w:rPr>
        <w:rFont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 w15:restartNumberingAfterBreak="0">
    <w:nsid w:val="1FA23958"/>
    <w:multiLevelType w:val="hybridMultilevel"/>
    <w:tmpl w:val="33FA7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2D3ED8"/>
    <w:multiLevelType w:val="hybridMultilevel"/>
    <w:tmpl w:val="5A76B3B6"/>
    <w:lvl w:ilvl="0" w:tplc="F5D463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3CEE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54AA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8F8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47C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A8C3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296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8DB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2E275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5C1094"/>
    <w:multiLevelType w:val="hybridMultilevel"/>
    <w:tmpl w:val="8286EAB8"/>
    <w:lvl w:ilvl="0" w:tplc="2A02F99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F478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462C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0A1C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2A6E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C2F6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76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22F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F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C416510"/>
    <w:multiLevelType w:val="hybridMultilevel"/>
    <w:tmpl w:val="CE0AD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D3B44"/>
    <w:multiLevelType w:val="hybridMultilevel"/>
    <w:tmpl w:val="9F80A37C"/>
    <w:lvl w:ilvl="0" w:tplc="4D0AC75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0EB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861C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A1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3E63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96EC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07F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483F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8188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4834611"/>
    <w:multiLevelType w:val="hybridMultilevel"/>
    <w:tmpl w:val="59B620E6"/>
    <w:lvl w:ilvl="0" w:tplc="5924376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C82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7C03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4667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247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CFB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8E6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A2B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FAA0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A77FB1"/>
    <w:multiLevelType w:val="hybridMultilevel"/>
    <w:tmpl w:val="F44A74F0"/>
    <w:lvl w:ilvl="0" w:tplc="B7EE949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3682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44D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704C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908D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A03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862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ABA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E220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D03073"/>
    <w:multiLevelType w:val="hybridMultilevel"/>
    <w:tmpl w:val="EEA2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F538A"/>
    <w:multiLevelType w:val="hybridMultilevel"/>
    <w:tmpl w:val="38E8879E"/>
    <w:lvl w:ilvl="0" w:tplc="4B5A28CE">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0E81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6615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4B5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5875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E73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6C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AE1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E846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7F1A44"/>
    <w:multiLevelType w:val="hybridMultilevel"/>
    <w:tmpl w:val="B1A493D2"/>
    <w:lvl w:ilvl="0" w:tplc="6BC85E6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623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62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3476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3E9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8A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4A7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242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D4C5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BAB2AE1"/>
    <w:multiLevelType w:val="hybridMultilevel"/>
    <w:tmpl w:val="8D36CE84"/>
    <w:lvl w:ilvl="0" w:tplc="211C9D7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7C97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A925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B4ED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F5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AE54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DCA9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205A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E670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A70920"/>
    <w:multiLevelType w:val="hybridMultilevel"/>
    <w:tmpl w:val="6EE029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3E38AA"/>
    <w:multiLevelType w:val="hybridMultilevel"/>
    <w:tmpl w:val="41525652"/>
    <w:lvl w:ilvl="0" w:tplc="0778D30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2298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2AC9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CC2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4294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0FE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EE8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50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8613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3865C39"/>
    <w:multiLevelType w:val="hybridMultilevel"/>
    <w:tmpl w:val="6870292E"/>
    <w:lvl w:ilvl="0" w:tplc="165AE4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EF37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CA3FE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B2D7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B6C1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2AD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B8E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E0B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5EAE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5C50469"/>
    <w:multiLevelType w:val="hybridMultilevel"/>
    <w:tmpl w:val="A7BA1580"/>
    <w:lvl w:ilvl="0" w:tplc="202480E2">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4EF4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6EC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22D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20A1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F8DE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C26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205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9E9C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110148"/>
    <w:multiLevelType w:val="hybridMultilevel"/>
    <w:tmpl w:val="870C7D7A"/>
    <w:lvl w:ilvl="0" w:tplc="2EF60ADE">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054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1A44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B87D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82F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863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F0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C000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4412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BD5082A"/>
    <w:multiLevelType w:val="hybridMultilevel"/>
    <w:tmpl w:val="C76614F6"/>
    <w:lvl w:ilvl="0" w:tplc="74987B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6BC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B6AF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681D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54BA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E1B6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1ED3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284B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2F0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C16C5D"/>
    <w:multiLevelType w:val="hybridMultilevel"/>
    <w:tmpl w:val="FF169756"/>
    <w:lvl w:ilvl="0" w:tplc="2F5AF07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42D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62C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4AD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8EA6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9E08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5ACA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78BD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C226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1"/>
  </w:num>
  <w:num w:numId="3">
    <w:abstractNumId w:val="11"/>
    <w:lvlOverride w:ilvl="0">
      <w:startOverride w:val="2"/>
    </w:lvlOverride>
  </w:num>
  <w:num w:numId="4">
    <w:abstractNumId w:val="18"/>
  </w:num>
  <w:num w:numId="5">
    <w:abstractNumId w:val="18"/>
    <w:lvlOverride w:ilvl="0">
      <w:startOverride w:val="3"/>
    </w:lvlOverride>
  </w:num>
  <w:num w:numId="6">
    <w:abstractNumId w:val="6"/>
  </w:num>
  <w:num w:numId="7">
    <w:abstractNumId w:val="6"/>
    <w:lvlOverride w:ilvl="0">
      <w:startOverride w:val="4"/>
    </w:lvlOverride>
  </w:num>
  <w:num w:numId="8">
    <w:abstractNumId w:val="4"/>
  </w:num>
  <w:num w:numId="9">
    <w:abstractNumId w:val="4"/>
    <w:lvlOverride w:ilvl="0">
      <w:startOverride w:val="5"/>
    </w:lvlOverride>
  </w:num>
  <w:num w:numId="10">
    <w:abstractNumId w:val="12"/>
  </w:num>
  <w:num w:numId="11">
    <w:abstractNumId w:val="12"/>
    <w:lvlOverride w:ilvl="0">
      <w:startOverride w:val="6"/>
    </w:lvlOverride>
  </w:num>
  <w:num w:numId="12">
    <w:abstractNumId w:val="10"/>
  </w:num>
  <w:num w:numId="13">
    <w:abstractNumId w:val="10"/>
    <w:lvlOverride w:ilvl="0">
      <w:startOverride w:val="7"/>
    </w:lvlOverride>
  </w:num>
  <w:num w:numId="14">
    <w:abstractNumId w:val="7"/>
  </w:num>
  <w:num w:numId="15">
    <w:abstractNumId w:val="7"/>
    <w:lvlOverride w:ilvl="0">
      <w:startOverride w:val="8"/>
    </w:lvlOverride>
  </w:num>
  <w:num w:numId="16">
    <w:abstractNumId w:val="19"/>
  </w:num>
  <w:num w:numId="17">
    <w:abstractNumId w:val="19"/>
    <w:lvlOverride w:ilvl="0">
      <w:startOverride w:val="9"/>
    </w:lvlOverride>
  </w:num>
  <w:num w:numId="18">
    <w:abstractNumId w:val="3"/>
  </w:num>
  <w:num w:numId="19">
    <w:abstractNumId w:val="3"/>
    <w:lvlOverride w:ilvl="0">
      <w:startOverride w:val="10"/>
    </w:lvlOverride>
  </w:num>
  <w:num w:numId="20">
    <w:abstractNumId w:val="14"/>
  </w:num>
  <w:num w:numId="21">
    <w:abstractNumId w:val="14"/>
    <w:lvlOverride w:ilvl="0">
      <w:startOverride w:val="11"/>
    </w:lvlOverride>
  </w:num>
  <w:num w:numId="22">
    <w:abstractNumId w:val="15"/>
  </w:num>
  <w:num w:numId="23">
    <w:abstractNumId w:val="15"/>
    <w:lvlOverride w:ilvl="0">
      <w:startOverride w:val="12"/>
    </w:lvlOverride>
  </w:num>
  <w:num w:numId="24">
    <w:abstractNumId w:val="16"/>
  </w:num>
  <w:num w:numId="25">
    <w:abstractNumId w:val="16"/>
    <w:lvlOverride w:ilvl="0">
      <w:startOverride w:val="13"/>
    </w:lvlOverride>
  </w:num>
  <w:num w:numId="26">
    <w:abstractNumId w:val="17"/>
  </w:num>
  <w:num w:numId="27">
    <w:abstractNumId w:val="17"/>
    <w:lvlOverride w:ilvl="0">
      <w:startOverride w:val="14"/>
    </w:lvlOverride>
  </w:num>
  <w:num w:numId="28">
    <w:abstractNumId w:val="5"/>
  </w:num>
  <w:num w:numId="29">
    <w:abstractNumId w:val="0"/>
  </w:num>
  <w:num w:numId="30">
    <w:abstractNumId w:val="2"/>
  </w:num>
  <w:num w:numId="31">
    <w:abstractNumId w:val="13"/>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B3"/>
    <w:rsid w:val="00017A58"/>
    <w:rsid w:val="00081A71"/>
    <w:rsid w:val="00085B4E"/>
    <w:rsid w:val="00097CC1"/>
    <w:rsid w:val="000A5082"/>
    <w:rsid w:val="000B1B84"/>
    <w:rsid w:val="000C4A24"/>
    <w:rsid w:val="000D7949"/>
    <w:rsid w:val="000F43FE"/>
    <w:rsid w:val="0010059F"/>
    <w:rsid w:val="001058A8"/>
    <w:rsid w:val="00141CDD"/>
    <w:rsid w:val="00182854"/>
    <w:rsid w:val="00182B61"/>
    <w:rsid w:val="00187EA0"/>
    <w:rsid w:val="00192DAD"/>
    <w:rsid w:val="00195413"/>
    <w:rsid w:val="001D3CDE"/>
    <w:rsid w:val="001E2C0B"/>
    <w:rsid w:val="001F6501"/>
    <w:rsid w:val="001F7385"/>
    <w:rsid w:val="00205048"/>
    <w:rsid w:val="002223F4"/>
    <w:rsid w:val="00232DDC"/>
    <w:rsid w:val="0024250D"/>
    <w:rsid w:val="00250F03"/>
    <w:rsid w:val="00257A7D"/>
    <w:rsid w:val="00267F79"/>
    <w:rsid w:val="00287EEF"/>
    <w:rsid w:val="00317C05"/>
    <w:rsid w:val="003341DD"/>
    <w:rsid w:val="00350B18"/>
    <w:rsid w:val="00371E80"/>
    <w:rsid w:val="00390B4C"/>
    <w:rsid w:val="00393625"/>
    <w:rsid w:val="00395697"/>
    <w:rsid w:val="00403E8F"/>
    <w:rsid w:val="0043537F"/>
    <w:rsid w:val="00435423"/>
    <w:rsid w:val="00442A7C"/>
    <w:rsid w:val="0044556E"/>
    <w:rsid w:val="00460862"/>
    <w:rsid w:val="004725F9"/>
    <w:rsid w:val="00474CA5"/>
    <w:rsid w:val="0049621F"/>
    <w:rsid w:val="004969B9"/>
    <w:rsid w:val="004B4A1A"/>
    <w:rsid w:val="004D7E54"/>
    <w:rsid w:val="00520398"/>
    <w:rsid w:val="00523465"/>
    <w:rsid w:val="00525C8B"/>
    <w:rsid w:val="005330B1"/>
    <w:rsid w:val="00552E07"/>
    <w:rsid w:val="0056407F"/>
    <w:rsid w:val="00596EA1"/>
    <w:rsid w:val="005A2368"/>
    <w:rsid w:val="005B287F"/>
    <w:rsid w:val="00607D02"/>
    <w:rsid w:val="00641C9E"/>
    <w:rsid w:val="00643BCD"/>
    <w:rsid w:val="006905BA"/>
    <w:rsid w:val="006A1A5E"/>
    <w:rsid w:val="006B5DF5"/>
    <w:rsid w:val="006C5F41"/>
    <w:rsid w:val="006E5345"/>
    <w:rsid w:val="006E7459"/>
    <w:rsid w:val="00701DCC"/>
    <w:rsid w:val="00727363"/>
    <w:rsid w:val="00751A2E"/>
    <w:rsid w:val="0075480B"/>
    <w:rsid w:val="007822E9"/>
    <w:rsid w:val="007D65B3"/>
    <w:rsid w:val="00806239"/>
    <w:rsid w:val="00856A17"/>
    <w:rsid w:val="008A3D7E"/>
    <w:rsid w:val="008C6C53"/>
    <w:rsid w:val="008E14D8"/>
    <w:rsid w:val="008F040C"/>
    <w:rsid w:val="00923FB6"/>
    <w:rsid w:val="009334FB"/>
    <w:rsid w:val="0094257B"/>
    <w:rsid w:val="00950AE3"/>
    <w:rsid w:val="009C5F42"/>
    <w:rsid w:val="009C5FDC"/>
    <w:rsid w:val="009C6AE0"/>
    <w:rsid w:val="009D41AB"/>
    <w:rsid w:val="009E347B"/>
    <w:rsid w:val="009F1DCE"/>
    <w:rsid w:val="009F464B"/>
    <w:rsid w:val="00A2784E"/>
    <w:rsid w:val="00A55A28"/>
    <w:rsid w:val="00A61E38"/>
    <w:rsid w:val="00A97FFD"/>
    <w:rsid w:val="00AB3121"/>
    <w:rsid w:val="00B00127"/>
    <w:rsid w:val="00B02925"/>
    <w:rsid w:val="00B32241"/>
    <w:rsid w:val="00B91E34"/>
    <w:rsid w:val="00BA1691"/>
    <w:rsid w:val="00BA2320"/>
    <w:rsid w:val="00BB0E6B"/>
    <w:rsid w:val="00BF2246"/>
    <w:rsid w:val="00C224F7"/>
    <w:rsid w:val="00C555E4"/>
    <w:rsid w:val="00C62479"/>
    <w:rsid w:val="00C919B4"/>
    <w:rsid w:val="00C96322"/>
    <w:rsid w:val="00CC6D46"/>
    <w:rsid w:val="00D0016E"/>
    <w:rsid w:val="00D252EE"/>
    <w:rsid w:val="00D33457"/>
    <w:rsid w:val="00D47862"/>
    <w:rsid w:val="00D51508"/>
    <w:rsid w:val="00D54149"/>
    <w:rsid w:val="00D561F5"/>
    <w:rsid w:val="00D65B22"/>
    <w:rsid w:val="00D670E7"/>
    <w:rsid w:val="00D869D3"/>
    <w:rsid w:val="00DA779C"/>
    <w:rsid w:val="00DB2B57"/>
    <w:rsid w:val="00DB2FDE"/>
    <w:rsid w:val="00DD187D"/>
    <w:rsid w:val="00DD4BF0"/>
    <w:rsid w:val="00E02200"/>
    <w:rsid w:val="00E369CE"/>
    <w:rsid w:val="00EB16FD"/>
    <w:rsid w:val="00EC7CB9"/>
    <w:rsid w:val="00ED17DA"/>
    <w:rsid w:val="00ED1A82"/>
    <w:rsid w:val="00ED27EB"/>
    <w:rsid w:val="00EF4627"/>
    <w:rsid w:val="00F01B79"/>
    <w:rsid w:val="00F13502"/>
    <w:rsid w:val="00F35163"/>
    <w:rsid w:val="00F37062"/>
    <w:rsid w:val="00F4014F"/>
    <w:rsid w:val="00F4420F"/>
    <w:rsid w:val="00F52708"/>
    <w:rsid w:val="00F56B9E"/>
    <w:rsid w:val="00F82B06"/>
    <w:rsid w:val="00F85256"/>
    <w:rsid w:val="00F92CB7"/>
    <w:rsid w:val="00FA2D34"/>
    <w:rsid w:val="00FA7E81"/>
    <w:rsid w:val="00FB1111"/>
    <w:rsid w:val="00FB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E406"/>
  <w15:docId w15:val="{8846C094-A886-4D80-AFBD-C57B30DF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CM2">
    <w:name w:val="CM2"/>
    <w:next w:val="Default"/>
    <w:pPr>
      <w:widowControl w:val="0"/>
    </w:pPr>
    <w:rPr>
      <w:rFonts w:ascii="Arial" w:eastAsia="Arial" w:hAnsi="Arial" w:cs="Arial"/>
      <w:color w:val="000000"/>
      <w:sz w:val="24"/>
      <w:szCs w:val="24"/>
      <w:u w:color="000000"/>
    </w:rPr>
  </w:style>
  <w:style w:type="paragraph" w:styleId="Footer">
    <w:name w:val="footer"/>
    <w:basedOn w:val="Normal"/>
    <w:link w:val="FooterChar"/>
    <w:uiPriority w:val="99"/>
    <w:unhideWhenUsed/>
    <w:rsid w:val="0094257B"/>
    <w:pPr>
      <w:tabs>
        <w:tab w:val="center" w:pos="4680"/>
        <w:tab w:val="right" w:pos="9360"/>
      </w:tabs>
    </w:pPr>
  </w:style>
  <w:style w:type="character" w:customStyle="1" w:styleId="FooterChar">
    <w:name w:val="Footer Char"/>
    <w:basedOn w:val="DefaultParagraphFont"/>
    <w:link w:val="Footer"/>
    <w:uiPriority w:val="99"/>
    <w:rsid w:val="0094257B"/>
    <w:rPr>
      <w:sz w:val="24"/>
      <w:szCs w:val="24"/>
    </w:rPr>
  </w:style>
  <w:style w:type="paragraph" w:styleId="BalloonText">
    <w:name w:val="Balloon Text"/>
    <w:basedOn w:val="Normal"/>
    <w:link w:val="BalloonTextChar"/>
    <w:uiPriority w:val="99"/>
    <w:semiHidden/>
    <w:unhideWhenUsed/>
    <w:rsid w:val="00FA2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34"/>
    <w:rPr>
      <w:rFonts w:ascii="Segoe UI" w:hAnsi="Segoe UI" w:cs="Segoe UI"/>
      <w:sz w:val="18"/>
      <w:szCs w:val="18"/>
    </w:rPr>
  </w:style>
  <w:style w:type="paragraph" w:styleId="NoSpacing">
    <w:name w:val="No Spacing"/>
    <w:uiPriority w:val="1"/>
    <w:qFormat/>
    <w:rsid w:val="00BB0E6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CommentText">
    <w:name w:val="annotation text"/>
    <w:basedOn w:val="Normal"/>
    <w:link w:val="CommentTextChar"/>
    <w:uiPriority w:val="99"/>
    <w:semiHidden/>
    <w:unhideWhenUsed/>
    <w:rsid w:val="00BB0E6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BB0E6B"/>
    <w:rPr>
      <w:rFonts w:asciiTheme="minorHAnsi" w:eastAsiaTheme="minorHAnsi" w:hAnsiTheme="minorHAnsi" w:cstheme="minorBidi"/>
      <w:bdr w:val="none" w:sz="0" w:space="0" w:color="auto"/>
    </w:rPr>
  </w:style>
  <w:style w:type="paragraph" w:styleId="PlainText">
    <w:name w:val="Plain Text"/>
    <w:basedOn w:val="Normal"/>
    <w:link w:val="PlainTextChar"/>
    <w:uiPriority w:val="99"/>
    <w:semiHidden/>
    <w:unhideWhenUsed/>
    <w:rsid w:val="00BB0E6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sz w:val="22"/>
      <w:szCs w:val="21"/>
      <w:bdr w:val="none" w:sz="0" w:space="0" w:color="auto"/>
    </w:rPr>
  </w:style>
  <w:style w:type="character" w:customStyle="1" w:styleId="PlainTextChar">
    <w:name w:val="Plain Text Char"/>
    <w:basedOn w:val="DefaultParagraphFont"/>
    <w:link w:val="PlainText"/>
    <w:uiPriority w:val="99"/>
    <w:semiHidden/>
    <w:rsid w:val="00BB0E6B"/>
    <w:rPr>
      <w:rFonts w:ascii="Calibri" w:eastAsiaTheme="minorEastAsia" w:hAnsi="Calibri"/>
      <w:sz w:val="22"/>
      <w:szCs w:val="21"/>
      <w:bdr w:val="none" w:sz="0" w:space="0" w:color="auto"/>
    </w:rPr>
  </w:style>
  <w:style w:type="paragraph" w:styleId="ListParagraph">
    <w:name w:val="List Paragraph"/>
    <w:basedOn w:val="Normal"/>
    <w:uiPriority w:val="34"/>
    <w:qFormat/>
    <w:rsid w:val="00BB0E6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character" w:styleId="CommentReference">
    <w:name w:val="annotation reference"/>
    <w:basedOn w:val="DefaultParagraphFont"/>
    <w:uiPriority w:val="99"/>
    <w:semiHidden/>
    <w:unhideWhenUsed/>
    <w:rsid w:val="00BB0E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6807">
      <w:bodyDiv w:val="1"/>
      <w:marLeft w:val="0"/>
      <w:marRight w:val="0"/>
      <w:marTop w:val="0"/>
      <w:marBottom w:val="0"/>
      <w:divBdr>
        <w:top w:val="none" w:sz="0" w:space="0" w:color="auto"/>
        <w:left w:val="none" w:sz="0" w:space="0" w:color="auto"/>
        <w:bottom w:val="none" w:sz="0" w:space="0" w:color="auto"/>
        <w:right w:val="none" w:sz="0" w:space="0" w:color="auto"/>
      </w:divBdr>
    </w:div>
    <w:div w:id="501287409">
      <w:bodyDiv w:val="1"/>
      <w:marLeft w:val="0"/>
      <w:marRight w:val="0"/>
      <w:marTop w:val="0"/>
      <w:marBottom w:val="0"/>
      <w:divBdr>
        <w:top w:val="none" w:sz="0" w:space="0" w:color="auto"/>
        <w:left w:val="none" w:sz="0" w:space="0" w:color="auto"/>
        <w:bottom w:val="none" w:sz="0" w:space="0" w:color="auto"/>
        <w:right w:val="none" w:sz="0" w:space="0" w:color="auto"/>
      </w:divBdr>
    </w:div>
    <w:div w:id="134335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61B81-8559-4FD7-936C-405B8F2F46E0}"/>
</file>

<file path=customXml/itemProps2.xml><?xml version="1.0" encoding="utf-8"?>
<ds:datastoreItem xmlns:ds="http://schemas.openxmlformats.org/officeDocument/2006/customXml" ds:itemID="{1AF0486E-885C-408B-9480-7E770D1BB933}"/>
</file>

<file path=customXml/itemProps3.xml><?xml version="1.0" encoding="utf-8"?>
<ds:datastoreItem xmlns:ds="http://schemas.openxmlformats.org/officeDocument/2006/customXml" ds:itemID="{75423313-E11C-44A3-A3D1-C6C085FFBBC9}"/>
</file>

<file path=docProps/app.xml><?xml version="1.0" encoding="utf-8"?>
<Properties xmlns="http://schemas.openxmlformats.org/officeDocument/2006/extended-properties" xmlns:vt="http://schemas.openxmlformats.org/officeDocument/2006/docPropsVTypes">
  <Template>Normal</Template>
  <TotalTime>38</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Rice</dc:creator>
  <cp:lastModifiedBy>Dana Keffer</cp:lastModifiedBy>
  <cp:revision>6</cp:revision>
  <cp:lastPrinted>2021-09-13T16:29:00Z</cp:lastPrinted>
  <dcterms:created xsi:type="dcterms:W3CDTF">2021-09-13T15:51:00Z</dcterms:created>
  <dcterms:modified xsi:type="dcterms:W3CDTF">2021-09-13T16:31:00Z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